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D10444" w:rsidRPr="00D10444" w14:paraId="2E604688" w14:textId="77777777" w:rsidTr="00D10444">
        <w:trPr>
          <w:tblCellSpacing w:w="0" w:type="dxa"/>
        </w:trPr>
        <w:tc>
          <w:tcPr>
            <w:tcW w:w="0" w:type="auto"/>
            <w:shd w:val="clear" w:color="auto" w:fill="FFFFFF"/>
            <w:tcMar>
              <w:top w:w="0" w:type="dxa"/>
              <w:left w:w="450" w:type="dxa"/>
              <w:bottom w:w="0" w:type="dxa"/>
              <w:right w:w="3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0"/>
            </w:tblGrid>
            <w:tr w:rsidR="00D10444" w:rsidRPr="00D10444" w14:paraId="1533C386" w14:textId="77777777">
              <w:trPr>
                <w:tblCellSpacing w:w="15" w:type="dxa"/>
              </w:trPr>
              <w:tc>
                <w:tcPr>
                  <w:tcW w:w="0" w:type="auto"/>
                  <w:vAlign w:val="center"/>
                  <w:hideMark/>
                </w:tcPr>
                <w:tbl>
                  <w:tblPr>
                    <w:tblW w:w="5000" w:type="pct"/>
                    <w:jc w:val="center"/>
                    <w:tblCellSpacing w:w="75" w:type="dxa"/>
                    <w:tblCellMar>
                      <w:left w:w="0" w:type="dxa"/>
                      <w:right w:w="0" w:type="dxa"/>
                    </w:tblCellMar>
                    <w:tblLook w:val="04A0" w:firstRow="1" w:lastRow="0" w:firstColumn="1" w:lastColumn="0" w:noHBand="0" w:noVBand="1"/>
                  </w:tblPr>
                  <w:tblGrid>
                    <w:gridCol w:w="9960"/>
                  </w:tblGrid>
                  <w:tr w:rsidR="00D10444" w:rsidRPr="00D10444" w14:paraId="16D1E381" w14:textId="77777777">
                    <w:trPr>
                      <w:tblCellSpacing w:w="75" w:type="dxa"/>
                      <w:jc w:val="center"/>
                    </w:trPr>
                    <w:tc>
                      <w:tcPr>
                        <w:tcW w:w="0" w:type="auto"/>
                        <w:vAlign w:val="center"/>
                        <w:hideMark/>
                      </w:tcPr>
                      <w:p w14:paraId="7C7E5D65" w14:textId="77777777" w:rsidR="00D10444" w:rsidRPr="00D10444" w:rsidRDefault="00D10444" w:rsidP="00D10444">
                        <w:pPr>
                          <w:spacing w:after="0" w:line="240" w:lineRule="auto"/>
                          <w:rPr>
                            <w:rFonts w:ascii="Times New Roman" w:eastAsia="Times New Roman" w:hAnsi="Times New Roman" w:cs="Times New Roman"/>
                            <w:b/>
                            <w:bCs/>
                            <w:caps/>
                            <w:sz w:val="24"/>
                            <w:szCs w:val="24"/>
                          </w:rPr>
                        </w:pPr>
                        <w:r w:rsidRPr="00D10444">
                          <w:rPr>
                            <w:rFonts w:ascii="Times New Roman" w:eastAsia="Times New Roman" w:hAnsi="Times New Roman" w:cs="Times New Roman"/>
                            <w:b/>
                            <w:bCs/>
                            <w:caps/>
                            <w:sz w:val="24"/>
                            <w:szCs w:val="24"/>
                          </w:rPr>
                          <w:t>Market Week: March 24, 2025</w:t>
                        </w:r>
                      </w:p>
                    </w:tc>
                  </w:tr>
                  <w:tr w:rsidR="00D10444" w:rsidRPr="00D10444" w14:paraId="7F7F499B" w14:textId="77777777">
                    <w:trPr>
                      <w:tblCellSpacing w:w="75" w:type="dxa"/>
                      <w:jc w:val="center"/>
                    </w:trPr>
                    <w:tc>
                      <w:tcPr>
                        <w:tcW w:w="0" w:type="auto"/>
                        <w:shd w:val="clear" w:color="auto" w:fill="DFE7E7"/>
                        <w:tcMar>
                          <w:top w:w="150" w:type="dxa"/>
                          <w:left w:w="300" w:type="dxa"/>
                          <w:bottom w:w="150" w:type="dxa"/>
                          <w:right w:w="300"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60"/>
                        </w:tblGrid>
                        <w:tr w:rsidR="00D10444" w:rsidRPr="00D10444" w14:paraId="510EA295" w14:textId="77777777">
                          <w:trPr>
                            <w:tblCellSpacing w:w="15" w:type="dxa"/>
                            <w:jc w:val="center"/>
                          </w:trPr>
                          <w:tc>
                            <w:tcPr>
                              <w:tcW w:w="0" w:type="auto"/>
                              <w:vAlign w:val="center"/>
                              <w:hideMark/>
                            </w:tcPr>
                            <w:p w14:paraId="0D11906D" w14:textId="77777777" w:rsidR="00D10444" w:rsidRPr="00D10444" w:rsidRDefault="00D10444" w:rsidP="00D10444">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10444">
                                <w:rPr>
                                  <w:rFonts w:ascii="Times New Roman" w:eastAsia="Times New Roman" w:hAnsi="Times New Roman" w:cs="Times New Roman"/>
                                  <w:b/>
                                  <w:bCs/>
                                  <w:color w:val="000000"/>
                                  <w:sz w:val="24"/>
                                  <w:szCs w:val="24"/>
                                </w:rPr>
                                <w:t>The Markets (as of market close March 21, 2025)</w:t>
                              </w:r>
                            </w:p>
                            <w:p w14:paraId="75DE60CA"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Wall Street saw a weekly gain for the first time in four weeks. Fed forecasts of two more interest rate cuts this year (see below) helped renew investor confidence. Each of the benchmark indexes closed higher last week, led by the Dow, which gained over 1.0%. All 11 of the S&amp;P market sectors advanced, led by financials, health care, industrials, and information technology. Bond values rose higher, dragging yields to their lowest levels in more than two weeks. Despite ticking lower at the end of the week, gold prices </w:t>
                              </w:r>
                              <w:proofErr w:type="gramStart"/>
                              <w:r w:rsidRPr="00D10444">
                                <w:rPr>
                                  <w:rFonts w:ascii="Arial" w:eastAsia="Times New Roman" w:hAnsi="Arial" w:cs="Arial"/>
                                  <w:color w:val="000000"/>
                                  <w:sz w:val="24"/>
                                  <w:szCs w:val="24"/>
                                </w:rPr>
                                <w:t>rose</w:t>
                              </w:r>
                              <w:proofErr w:type="gramEnd"/>
                              <w:r w:rsidRPr="00D10444">
                                <w:rPr>
                                  <w:rFonts w:ascii="Arial" w:eastAsia="Times New Roman" w:hAnsi="Arial" w:cs="Arial"/>
                                  <w:color w:val="000000"/>
                                  <w:sz w:val="24"/>
                                  <w:szCs w:val="24"/>
                                </w:rPr>
                                <w:t xml:space="preserve"> over 1.2%. Considered a safe-haven asset, gold prices have enjoyed 16 record highs this year, reaching an all-time peak of $3,057.21 per ounce on Thursday. Since January 2024, the price of gold has risen 45.0%, or about $1,000.00 per ounce.</w:t>
                              </w:r>
                            </w:p>
                            <w:p w14:paraId="6F341240"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Stocks rose higher last Monday for the second straight session. The Russell 2000 gained 1.2% to lead the benchmark indexes listed here. The Global Dow rose 1.1%, the Dow climbed 0.9%, the S&amp;P 500 added 0.6%, and the NASDAQ advanced 0.3%. Yields on 10-year Treasuries ticked up to 4.30%. Crude oil prices gained 0.5% to settle at $67.51 per barrel. The dollar declined, while gold prices reached a record high after climbing to $3,008.70 per ounce.</w:t>
                              </w:r>
                            </w:p>
                            <w:p w14:paraId="3BAD1E9B" w14:textId="77777777" w:rsidR="00D10444" w:rsidRPr="00D10444" w:rsidRDefault="00D10444" w:rsidP="00D10444">
                              <w:pPr>
                                <w:spacing w:after="105" w:line="240" w:lineRule="auto"/>
                                <w:rPr>
                                  <w:rFonts w:ascii="Arial" w:eastAsia="Times New Roman" w:hAnsi="Arial" w:cs="Arial"/>
                                  <w:color w:val="000000"/>
                                  <w:sz w:val="24"/>
                                  <w:szCs w:val="24"/>
                                </w:rPr>
                              </w:pPr>
                              <w:proofErr w:type="gramStart"/>
                              <w:r w:rsidRPr="00D10444">
                                <w:rPr>
                                  <w:rFonts w:ascii="Arial" w:eastAsia="Times New Roman" w:hAnsi="Arial" w:cs="Arial"/>
                                  <w:color w:val="000000"/>
                                  <w:sz w:val="24"/>
                                  <w:szCs w:val="24"/>
                                </w:rPr>
                                <w:t>A selloff</w:t>
                              </w:r>
                              <w:proofErr w:type="gramEnd"/>
                              <w:r w:rsidRPr="00D10444">
                                <w:rPr>
                                  <w:rFonts w:ascii="Arial" w:eastAsia="Times New Roman" w:hAnsi="Arial" w:cs="Arial"/>
                                  <w:color w:val="000000"/>
                                  <w:sz w:val="24"/>
                                  <w:szCs w:val="24"/>
                                </w:rPr>
                                <w:t xml:space="preserve"> in tech stocks dragged the markets lower last Tuesday. </w:t>
                              </w:r>
                              <w:proofErr w:type="gramStart"/>
                              <w:r w:rsidRPr="00D10444">
                                <w:rPr>
                                  <w:rFonts w:ascii="Arial" w:eastAsia="Times New Roman" w:hAnsi="Arial" w:cs="Arial"/>
                                  <w:color w:val="000000"/>
                                  <w:sz w:val="24"/>
                                  <w:szCs w:val="24"/>
                                </w:rPr>
                                <w:t>The NASDAQ</w:t>
                              </w:r>
                              <w:proofErr w:type="gramEnd"/>
                              <w:r w:rsidRPr="00D10444">
                                <w:rPr>
                                  <w:rFonts w:ascii="Arial" w:eastAsia="Times New Roman" w:hAnsi="Arial" w:cs="Arial"/>
                                  <w:color w:val="000000"/>
                                  <w:sz w:val="24"/>
                                  <w:szCs w:val="24"/>
                                </w:rPr>
                                <w:t xml:space="preserve"> fell 1.7%, and the S&amp;P 500 declined 1.1%. The small caps of the Russell 2000 lost 0.9%, and the Dow dropped 0.6%. The Global Dow eked out a 0.2% gain. The crude oil price rally ended last Tuesday as prices fell 1.0% to $66.92 per barrel. Yields on 10-year Treasuries dipped to 4.28%. The dollar index fell 0.1%, while gold prices continued to surge, gaining 1.2% to reach a new record high.</w:t>
                              </w:r>
                            </w:p>
                            <w:p w14:paraId="7B7BF5CC"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Wall Street rebounded last Wednesday after the Federal Reserve projected two more rate cuts later this year. Tech shares reversed the prior day's losses, driving the NASDAQ up 1.4%. The Russell 2000, an index driven, in part, by changing economic conditions, led the benchmark indexes listed here, gaining 1.6%. The S&amp;P 500 rose 1.1%, the Dow climbed 0.9%, and the Global Dow edged up 0.5%. Gold prices moved higher, reaching another record after gaining 0.5%. Ten-year Treasury yields fell to 4.25%. Crude oil prices rose to $67.25 per barrel. The dollar gained 0.3% against a basket of currencies.</w:t>
                              </w:r>
                            </w:p>
                            <w:p w14:paraId="5D919CFA"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Last Wednesday's Fed-driven rally ended quickly on Thursday as investors reassessed the potential for rising inflation and an economic slowdown. The Russell 2000 lost 0.6%, followed by the Global Dow (-0.4%), the NASDAQ (-0.3%), and the </w:t>
                              </w:r>
                              <w:r w:rsidRPr="00D10444">
                                <w:rPr>
                                  <w:rFonts w:ascii="Arial" w:eastAsia="Times New Roman" w:hAnsi="Arial" w:cs="Arial"/>
                                  <w:color w:val="000000"/>
                                  <w:sz w:val="24"/>
                                  <w:szCs w:val="24"/>
                                </w:rPr>
                                <w:lastRenderedPageBreak/>
                                <w:t>S&amp;P 500 (-0.2%). The Dow was essentially unchanged. Ten-year Treasury yields dipped to 4.23%. Crude oil prices advanced for the third session of the week, settling at about $68.30 per barrel. The dollar and gold prices each gained 0.4%.</w:t>
                              </w:r>
                            </w:p>
                            <w:p w14:paraId="3640050D"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Stocks closed mostly higher last Friday after President Trump suggested that he is willing to consider some flexibility on tariffs. The NASDAQ rose 0.5%, while the Dow and the S&amp;P 500 each gained 0.1%. The Russell 2000 and the Global Dow each retreated 0.6% and 0.3%, respectively. Yields on 10-year Treasuries inched up to 4.25%. Crude oil prices rose 0.3%. The dollar index gained 0.3%, while gold prices fell 0.5%.</w:t>
                              </w:r>
                            </w:p>
                          </w:tc>
                        </w:tr>
                      </w:tbl>
                      <w:p w14:paraId="39800652" w14:textId="77777777" w:rsidR="00D10444" w:rsidRPr="00D10444" w:rsidRDefault="00D10444" w:rsidP="00D10444">
                        <w:pPr>
                          <w:spacing w:after="0" w:line="240" w:lineRule="auto"/>
                          <w:rPr>
                            <w:rFonts w:ascii="Times New Roman" w:eastAsia="Times New Roman" w:hAnsi="Times New Roman" w:cs="Times New Roman"/>
                            <w:sz w:val="24"/>
                            <w:szCs w:val="24"/>
                          </w:rPr>
                        </w:pPr>
                      </w:p>
                    </w:tc>
                  </w:tr>
                  <w:tr w:rsidR="00D10444" w:rsidRPr="00D10444" w14:paraId="2485BDD7" w14:textId="77777777">
                    <w:trPr>
                      <w:tblCellSpacing w:w="75" w:type="dxa"/>
                      <w:jc w:val="center"/>
                    </w:trPr>
                    <w:tc>
                      <w:tcPr>
                        <w:tcW w:w="0" w:type="auto"/>
                        <w:vAlign w:val="center"/>
                        <w:hideMark/>
                      </w:tcPr>
                      <w:p w14:paraId="5137CCFF" w14:textId="77777777" w:rsidR="00D10444" w:rsidRPr="00D10444" w:rsidRDefault="00D10444" w:rsidP="00D10444">
                        <w:pPr>
                          <w:spacing w:after="75" w:line="240" w:lineRule="auto"/>
                          <w:outlineLvl w:val="2"/>
                          <w:rPr>
                            <w:rFonts w:ascii="Arial" w:eastAsia="Times New Roman" w:hAnsi="Arial" w:cs="Arial"/>
                            <w:b/>
                            <w:bCs/>
                            <w:color w:val="336666"/>
                            <w:sz w:val="24"/>
                            <w:szCs w:val="24"/>
                          </w:rPr>
                        </w:pPr>
                        <w:r w:rsidRPr="00D10444">
                          <w:rPr>
                            <w:rFonts w:ascii="Arial" w:eastAsia="Times New Roman" w:hAnsi="Arial" w:cs="Arial"/>
                            <w:b/>
                            <w:bCs/>
                            <w:color w:val="336666"/>
                            <w:sz w:val="24"/>
                            <w:szCs w:val="24"/>
                          </w:rPr>
                          <w:lastRenderedPageBreak/>
                          <w:t>Stock Market Indexes</w:t>
                        </w:r>
                      </w:p>
                      <w:tbl>
                        <w:tblPr>
                          <w:tblW w:w="5000" w:type="pct"/>
                          <w:tblCellSpacing w:w="0" w:type="dxa"/>
                          <w:tblBorders>
                            <w:top w:val="single" w:sz="6" w:space="0" w:color="336666"/>
                          </w:tblBorders>
                          <w:tblCellMar>
                            <w:top w:w="150" w:type="dxa"/>
                            <w:left w:w="45" w:type="dxa"/>
                            <w:bottom w:w="45" w:type="dxa"/>
                            <w:right w:w="45" w:type="dxa"/>
                          </w:tblCellMar>
                          <w:tblLook w:val="04A0" w:firstRow="1" w:lastRow="0" w:firstColumn="1" w:lastColumn="0" w:noHBand="0" w:noVBand="1"/>
                        </w:tblPr>
                        <w:tblGrid>
                          <w:gridCol w:w="2245"/>
                          <w:gridCol w:w="1417"/>
                          <w:gridCol w:w="1417"/>
                          <w:gridCol w:w="1417"/>
                          <w:gridCol w:w="1713"/>
                          <w:gridCol w:w="1451"/>
                        </w:tblGrid>
                        <w:tr w:rsidR="00D10444" w:rsidRPr="00D10444" w14:paraId="3636BD78" w14:textId="77777777">
                          <w:trPr>
                            <w:tblCellSpacing w:w="0" w:type="dxa"/>
                          </w:trPr>
                          <w:tc>
                            <w:tcPr>
                              <w:tcW w:w="0" w:type="auto"/>
                              <w:hideMark/>
                            </w:tcPr>
                            <w:p w14:paraId="64C03F0E"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Market/Index</w:t>
                              </w:r>
                            </w:p>
                          </w:tc>
                          <w:tc>
                            <w:tcPr>
                              <w:tcW w:w="0" w:type="auto"/>
                              <w:hideMark/>
                            </w:tcPr>
                            <w:p w14:paraId="3E3FF5EB"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2024 Close</w:t>
                              </w:r>
                            </w:p>
                          </w:tc>
                          <w:tc>
                            <w:tcPr>
                              <w:tcW w:w="0" w:type="auto"/>
                              <w:hideMark/>
                            </w:tcPr>
                            <w:p w14:paraId="36CA1F8C"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Prior Week</w:t>
                              </w:r>
                            </w:p>
                          </w:tc>
                          <w:tc>
                            <w:tcPr>
                              <w:tcW w:w="0" w:type="auto"/>
                              <w:hideMark/>
                            </w:tcPr>
                            <w:p w14:paraId="03291C46"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As of 3/21</w:t>
                              </w:r>
                            </w:p>
                          </w:tc>
                          <w:tc>
                            <w:tcPr>
                              <w:tcW w:w="0" w:type="auto"/>
                              <w:hideMark/>
                            </w:tcPr>
                            <w:p w14:paraId="5B2E57CF"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Weekly Change</w:t>
                              </w:r>
                            </w:p>
                          </w:tc>
                          <w:tc>
                            <w:tcPr>
                              <w:tcW w:w="0" w:type="auto"/>
                              <w:hideMark/>
                            </w:tcPr>
                            <w:p w14:paraId="1BEB8AC1"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YTD Change</w:t>
                              </w:r>
                            </w:p>
                          </w:tc>
                        </w:tr>
                        <w:tr w:rsidR="00D10444" w:rsidRPr="00D10444" w14:paraId="198F2FC3" w14:textId="77777777">
                          <w:trPr>
                            <w:tblCellSpacing w:w="0" w:type="dxa"/>
                          </w:trPr>
                          <w:tc>
                            <w:tcPr>
                              <w:tcW w:w="0" w:type="auto"/>
                              <w:shd w:val="clear" w:color="auto" w:fill="DFE7E7"/>
                              <w:hideMark/>
                            </w:tcPr>
                            <w:p w14:paraId="6D0F76A3"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DJIA</w:t>
                              </w:r>
                            </w:p>
                          </w:tc>
                          <w:tc>
                            <w:tcPr>
                              <w:tcW w:w="0" w:type="auto"/>
                              <w:shd w:val="clear" w:color="auto" w:fill="DFE7E7"/>
                              <w:hideMark/>
                            </w:tcPr>
                            <w:p w14:paraId="05474773"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42,544.22</w:t>
                              </w:r>
                            </w:p>
                          </w:tc>
                          <w:tc>
                            <w:tcPr>
                              <w:tcW w:w="0" w:type="auto"/>
                              <w:shd w:val="clear" w:color="auto" w:fill="DFE7E7"/>
                              <w:hideMark/>
                            </w:tcPr>
                            <w:p w14:paraId="1A8CC08D"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41,488.19</w:t>
                              </w:r>
                            </w:p>
                          </w:tc>
                          <w:tc>
                            <w:tcPr>
                              <w:tcW w:w="0" w:type="auto"/>
                              <w:shd w:val="clear" w:color="auto" w:fill="DFE7E7"/>
                              <w:hideMark/>
                            </w:tcPr>
                            <w:p w14:paraId="24C3966C"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41,985.35</w:t>
                              </w:r>
                            </w:p>
                          </w:tc>
                          <w:tc>
                            <w:tcPr>
                              <w:tcW w:w="0" w:type="auto"/>
                              <w:shd w:val="clear" w:color="auto" w:fill="DFE7E7"/>
                              <w:hideMark/>
                            </w:tcPr>
                            <w:p w14:paraId="7E6E85B9"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1.20%</w:t>
                              </w:r>
                            </w:p>
                          </w:tc>
                          <w:tc>
                            <w:tcPr>
                              <w:tcW w:w="0" w:type="auto"/>
                              <w:shd w:val="clear" w:color="auto" w:fill="DFE7E7"/>
                              <w:hideMark/>
                            </w:tcPr>
                            <w:p w14:paraId="710CF7E6"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-1.31%</w:t>
                              </w:r>
                            </w:p>
                          </w:tc>
                        </w:tr>
                        <w:tr w:rsidR="00D10444" w:rsidRPr="00D10444" w14:paraId="56FDD06B" w14:textId="77777777">
                          <w:trPr>
                            <w:tblCellSpacing w:w="0" w:type="dxa"/>
                          </w:trPr>
                          <w:tc>
                            <w:tcPr>
                              <w:tcW w:w="0" w:type="auto"/>
                              <w:hideMark/>
                            </w:tcPr>
                            <w:p w14:paraId="25281366"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NASDAQ</w:t>
                              </w:r>
                            </w:p>
                          </w:tc>
                          <w:tc>
                            <w:tcPr>
                              <w:tcW w:w="0" w:type="auto"/>
                              <w:hideMark/>
                            </w:tcPr>
                            <w:p w14:paraId="0D7CF571"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19,310.79</w:t>
                              </w:r>
                            </w:p>
                          </w:tc>
                          <w:tc>
                            <w:tcPr>
                              <w:tcW w:w="0" w:type="auto"/>
                              <w:hideMark/>
                            </w:tcPr>
                            <w:p w14:paraId="0DE0AB2C"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17,754.09</w:t>
                              </w:r>
                            </w:p>
                          </w:tc>
                          <w:tc>
                            <w:tcPr>
                              <w:tcW w:w="0" w:type="auto"/>
                              <w:hideMark/>
                            </w:tcPr>
                            <w:p w14:paraId="7F137685"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17,784.05</w:t>
                              </w:r>
                            </w:p>
                          </w:tc>
                          <w:tc>
                            <w:tcPr>
                              <w:tcW w:w="0" w:type="auto"/>
                              <w:hideMark/>
                            </w:tcPr>
                            <w:p w14:paraId="28B6CDB8"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0.17%</w:t>
                              </w:r>
                            </w:p>
                          </w:tc>
                          <w:tc>
                            <w:tcPr>
                              <w:tcW w:w="0" w:type="auto"/>
                              <w:hideMark/>
                            </w:tcPr>
                            <w:p w14:paraId="07FED9FF"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-7.91%</w:t>
                              </w:r>
                            </w:p>
                          </w:tc>
                        </w:tr>
                        <w:tr w:rsidR="00D10444" w:rsidRPr="00D10444" w14:paraId="395FD706" w14:textId="77777777">
                          <w:trPr>
                            <w:tblCellSpacing w:w="0" w:type="dxa"/>
                          </w:trPr>
                          <w:tc>
                            <w:tcPr>
                              <w:tcW w:w="0" w:type="auto"/>
                              <w:shd w:val="clear" w:color="auto" w:fill="DFE7E7"/>
                              <w:hideMark/>
                            </w:tcPr>
                            <w:p w14:paraId="62318F55"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S&amp;P 500</w:t>
                              </w:r>
                            </w:p>
                          </w:tc>
                          <w:tc>
                            <w:tcPr>
                              <w:tcW w:w="0" w:type="auto"/>
                              <w:shd w:val="clear" w:color="auto" w:fill="DFE7E7"/>
                              <w:hideMark/>
                            </w:tcPr>
                            <w:p w14:paraId="22549064"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5,881.63</w:t>
                              </w:r>
                            </w:p>
                          </w:tc>
                          <w:tc>
                            <w:tcPr>
                              <w:tcW w:w="0" w:type="auto"/>
                              <w:shd w:val="clear" w:color="auto" w:fill="DFE7E7"/>
                              <w:hideMark/>
                            </w:tcPr>
                            <w:p w14:paraId="2133FE02"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5,638.94</w:t>
                              </w:r>
                            </w:p>
                          </w:tc>
                          <w:tc>
                            <w:tcPr>
                              <w:tcW w:w="0" w:type="auto"/>
                              <w:shd w:val="clear" w:color="auto" w:fill="DFE7E7"/>
                              <w:hideMark/>
                            </w:tcPr>
                            <w:p w14:paraId="62A4569C"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5,667.56</w:t>
                              </w:r>
                            </w:p>
                          </w:tc>
                          <w:tc>
                            <w:tcPr>
                              <w:tcW w:w="0" w:type="auto"/>
                              <w:shd w:val="clear" w:color="auto" w:fill="DFE7E7"/>
                              <w:hideMark/>
                            </w:tcPr>
                            <w:p w14:paraId="559B8E3D"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0.51%</w:t>
                              </w:r>
                            </w:p>
                          </w:tc>
                          <w:tc>
                            <w:tcPr>
                              <w:tcW w:w="0" w:type="auto"/>
                              <w:shd w:val="clear" w:color="auto" w:fill="DFE7E7"/>
                              <w:hideMark/>
                            </w:tcPr>
                            <w:p w14:paraId="4BACA5C2"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-3.64%</w:t>
                              </w:r>
                            </w:p>
                          </w:tc>
                        </w:tr>
                        <w:tr w:rsidR="00D10444" w:rsidRPr="00D10444" w14:paraId="12BB0067" w14:textId="77777777">
                          <w:trPr>
                            <w:tblCellSpacing w:w="0" w:type="dxa"/>
                          </w:trPr>
                          <w:tc>
                            <w:tcPr>
                              <w:tcW w:w="0" w:type="auto"/>
                              <w:hideMark/>
                            </w:tcPr>
                            <w:p w14:paraId="2CC8C8F6"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Russell 2000</w:t>
                              </w:r>
                            </w:p>
                          </w:tc>
                          <w:tc>
                            <w:tcPr>
                              <w:tcW w:w="0" w:type="auto"/>
                              <w:hideMark/>
                            </w:tcPr>
                            <w:p w14:paraId="2DD25FA8"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2,230.16</w:t>
                              </w:r>
                            </w:p>
                          </w:tc>
                          <w:tc>
                            <w:tcPr>
                              <w:tcW w:w="0" w:type="auto"/>
                              <w:hideMark/>
                            </w:tcPr>
                            <w:p w14:paraId="7AAC8526"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2,044.10</w:t>
                              </w:r>
                            </w:p>
                          </w:tc>
                          <w:tc>
                            <w:tcPr>
                              <w:tcW w:w="0" w:type="auto"/>
                              <w:hideMark/>
                            </w:tcPr>
                            <w:p w14:paraId="477CE9D5"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2,056.98</w:t>
                              </w:r>
                            </w:p>
                          </w:tc>
                          <w:tc>
                            <w:tcPr>
                              <w:tcW w:w="0" w:type="auto"/>
                              <w:hideMark/>
                            </w:tcPr>
                            <w:p w14:paraId="1E2360E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0.63%</w:t>
                              </w:r>
                            </w:p>
                          </w:tc>
                          <w:tc>
                            <w:tcPr>
                              <w:tcW w:w="0" w:type="auto"/>
                              <w:hideMark/>
                            </w:tcPr>
                            <w:p w14:paraId="4E4A480D"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-7.77%</w:t>
                              </w:r>
                            </w:p>
                          </w:tc>
                        </w:tr>
                        <w:tr w:rsidR="00D10444" w:rsidRPr="00D10444" w14:paraId="406B6725" w14:textId="77777777">
                          <w:trPr>
                            <w:tblCellSpacing w:w="0" w:type="dxa"/>
                          </w:trPr>
                          <w:tc>
                            <w:tcPr>
                              <w:tcW w:w="0" w:type="auto"/>
                              <w:shd w:val="clear" w:color="auto" w:fill="DFE7E7"/>
                              <w:hideMark/>
                            </w:tcPr>
                            <w:p w14:paraId="2B0B358D"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Global Dow</w:t>
                              </w:r>
                            </w:p>
                          </w:tc>
                          <w:tc>
                            <w:tcPr>
                              <w:tcW w:w="0" w:type="auto"/>
                              <w:shd w:val="clear" w:color="auto" w:fill="DFE7E7"/>
                              <w:hideMark/>
                            </w:tcPr>
                            <w:p w14:paraId="68123CA9"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4,863.01</w:t>
                              </w:r>
                            </w:p>
                          </w:tc>
                          <w:tc>
                            <w:tcPr>
                              <w:tcW w:w="0" w:type="auto"/>
                              <w:shd w:val="clear" w:color="auto" w:fill="DFE7E7"/>
                              <w:hideMark/>
                            </w:tcPr>
                            <w:p w14:paraId="1EAE0274"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5,156.74</w:t>
                              </w:r>
                            </w:p>
                          </w:tc>
                          <w:tc>
                            <w:tcPr>
                              <w:tcW w:w="0" w:type="auto"/>
                              <w:shd w:val="clear" w:color="auto" w:fill="DFE7E7"/>
                              <w:hideMark/>
                            </w:tcPr>
                            <w:p w14:paraId="14A0D491"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5,198.52</w:t>
                              </w:r>
                            </w:p>
                          </w:tc>
                          <w:tc>
                            <w:tcPr>
                              <w:tcW w:w="0" w:type="auto"/>
                              <w:shd w:val="clear" w:color="auto" w:fill="DFE7E7"/>
                              <w:hideMark/>
                            </w:tcPr>
                            <w:p w14:paraId="79076988"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0.81%</w:t>
                              </w:r>
                            </w:p>
                          </w:tc>
                          <w:tc>
                            <w:tcPr>
                              <w:tcW w:w="0" w:type="auto"/>
                              <w:shd w:val="clear" w:color="auto" w:fill="DFE7E7"/>
                              <w:hideMark/>
                            </w:tcPr>
                            <w:p w14:paraId="2C6882B7"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6.90%</w:t>
                              </w:r>
                            </w:p>
                          </w:tc>
                        </w:tr>
                        <w:tr w:rsidR="00D10444" w:rsidRPr="00D10444" w14:paraId="1C68E357" w14:textId="77777777">
                          <w:trPr>
                            <w:tblCellSpacing w:w="0" w:type="dxa"/>
                          </w:trPr>
                          <w:tc>
                            <w:tcPr>
                              <w:tcW w:w="0" w:type="auto"/>
                              <w:hideMark/>
                            </w:tcPr>
                            <w:p w14:paraId="7360C6E9"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fed. funds target rate</w:t>
                              </w:r>
                            </w:p>
                          </w:tc>
                          <w:tc>
                            <w:tcPr>
                              <w:tcW w:w="0" w:type="auto"/>
                              <w:hideMark/>
                            </w:tcPr>
                            <w:p w14:paraId="62BBDBF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4.25%-4.50%</w:t>
                              </w:r>
                            </w:p>
                          </w:tc>
                          <w:tc>
                            <w:tcPr>
                              <w:tcW w:w="0" w:type="auto"/>
                              <w:hideMark/>
                            </w:tcPr>
                            <w:p w14:paraId="5BF38925"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4.25%-4.50%</w:t>
                              </w:r>
                            </w:p>
                          </w:tc>
                          <w:tc>
                            <w:tcPr>
                              <w:tcW w:w="0" w:type="auto"/>
                              <w:hideMark/>
                            </w:tcPr>
                            <w:p w14:paraId="28E14388"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4.25%-4.50%</w:t>
                              </w:r>
                            </w:p>
                          </w:tc>
                          <w:tc>
                            <w:tcPr>
                              <w:tcW w:w="0" w:type="auto"/>
                              <w:hideMark/>
                            </w:tcPr>
                            <w:p w14:paraId="64E8923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 bps</w:t>
                              </w:r>
                            </w:p>
                          </w:tc>
                          <w:tc>
                            <w:tcPr>
                              <w:tcW w:w="0" w:type="auto"/>
                              <w:hideMark/>
                            </w:tcPr>
                            <w:p w14:paraId="493F4C8F"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 bps</w:t>
                              </w:r>
                            </w:p>
                          </w:tc>
                        </w:tr>
                        <w:tr w:rsidR="00D10444" w:rsidRPr="00D10444" w14:paraId="6CA5D096" w14:textId="77777777">
                          <w:trPr>
                            <w:tblCellSpacing w:w="0" w:type="dxa"/>
                          </w:trPr>
                          <w:tc>
                            <w:tcPr>
                              <w:tcW w:w="0" w:type="auto"/>
                              <w:shd w:val="clear" w:color="auto" w:fill="DFE7E7"/>
                              <w:hideMark/>
                            </w:tcPr>
                            <w:p w14:paraId="7EE64ED4"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10-year Treasuries</w:t>
                              </w:r>
                            </w:p>
                          </w:tc>
                          <w:tc>
                            <w:tcPr>
                              <w:tcW w:w="0" w:type="auto"/>
                              <w:shd w:val="clear" w:color="auto" w:fill="DFE7E7"/>
                              <w:hideMark/>
                            </w:tcPr>
                            <w:p w14:paraId="646B0D21"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4.57%</w:t>
                              </w:r>
                            </w:p>
                          </w:tc>
                          <w:tc>
                            <w:tcPr>
                              <w:tcW w:w="0" w:type="auto"/>
                              <w:shd w:val="clear" w:color="auto" w:fill="DFE7E7"/>
                              <w:hideMark/>
                            </w:tcPr>
                            <w:p w14:paraId="79E39D67"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4.30%</w:t>
                              </w:r>
                            </w:p>
                          </w:tc>
                          <w:tc>
                            <w:tcPr>
                              <w:tcW w:w="0" w:type="auto"/>
                              <w:shd w:val="clear" w:color="auto" w:fill="DFE7E7"/>
                              <w:hideMark/>
                            </w:tcPr>
                            <w:p w14:paraId="2C1A6045"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4.25%</w:t>
                              </w:r>
                            </w:p>
                          </w:tc>
                          <w:tc>
                            <w:tcPr>
                              <w:tcW w:w="0" w:type="auto"/>
                              <w:shd w:val="clear" w:color="auto" w:fill="DFE7E7"/>
                              <w:hideMark/>
                            </w:tcPr>
                            <w:p w14:paraId="0AEC079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-5 bps</w:t>
                              </w:r>
                            </w:p>
                          </w:tc>
                          <w:tc>
                            <w:tcPr>
                              <w:tcW w:w="0" w:type="auto"/>
                              <w:shd w:val="clear" w:color="auto" w:fill="DFE7E7"/>
                              <w:hideMark/>
                            </w:tcPr>
                            <w:p w14:paraId="1BECF5F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-32 bps</w:t>
                              </w:r>
                            </w:p>
                          </w:tc>
                        </w:tr>
                        <w:tr w:rsidR="00D10444" w:rsidRPr="00D10444" w14:paraId="5EED4B01" w14:textId="77777777">
                          <w:trPr>
                            <w:tblCellSpacing w:w="0" w:type="dxa"/>
                          </w:trPr>
                          <w:tc>
                            <w:tcPr>
                              <w:tcW w:w="0" w:type="auto"/>
                              <w:shd w:val="clear" w:color="auto" w:fill="DFE7E7"/>
                              <w:hideMark/>
                            </w:tcPr>
                            <w:p w14:paraId="303FF6FD"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US Dollar-DXY</w:t>
                              </w:r>
                            </w:p>
                          </w:tc>
                          <w:tc>
                            <w:tcPr>
                              <w:tcW w:w="0" w:type="auto"/>
                              <w:shd w:val="clear" w:color="auto" w:fill="DFE7E7"/>
                              <w:hideMark/>
                            </w:tcPr>
                            <w:p w14:paraId="20F3225A"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108.44</w:t>
                              </w:r>
                            </w:p>
                          </w:tc>
                          <w:tc>
                            <w:tcPr>
                              <w:tcW w:w="0" w:type="auto"/>
                              <w:shd w:val="clear" w:color="auto" w:fill="DFE7E7"/>
                              <w:hideMark/>
                            </w:tcPr>
                            <w:p w14:paraId="2A799364"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103.70</w:t>
                              </w:r>
                            </w:p>
                          </w:tc>
                          <w:tc>
                            <w:tcPr>
                              <w:tcW w:w="0" w:type="auto"/>
                              <w:shd w:val="clear" w:color="auto" w:fill="DFE7E7"/>
                              <w:hideMark/>
                            </w:tcPr>
                            <w:p w14:paraId="15181BC1"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104.14</w:t>
                              </w:r>
                            </w:p>
                          </w:tc>
                          <w:tc>
                            <w:tcPr>
                              <w:tcW w:w="0" w:type="auto"/>
                              <w:shd w:val="clear" w:color="auto" w:fill="DFE7E7"/>
                              <w:hideMark/>
                            </w:tcPr>
                            <w:p w14:paraId="58ED65F9"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0.42%</w:t>
                              </w:r>
                            </w:p>
                          </w:tc>
                          <w:tc>
                            <w:tcPr>
                              <w:tcW w:w="0" w:type="auto"/>
                              <w:shd w:val="clear" w:color="auto" w:fill="DFE7E7"/>
                              <w:hideMark/>
                            </w:tcPr>
                            <w:p w14:paraId="266DD767"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-3.97%</w:t>
                              </w:r>
                            </w:p>
                          </w:tc>
                        </w:tr>
                        <w:tr w:rsidR="00D10444" w:rsidRPr="00D10444" w14:paraId="48B721BC" w14:textId="77777777">
                          <w:trPr>
                            <w:tblCellSpacing w:w="0" w:type="dxa"/>
                          </w:trPr>
                          <w:tc>
                            <w:tcPr>
                              <w:tcW w:w="0" w:type="auto"/>
                              <w:shd w:val="clear" w:color="auto" w:fill="DFE7E7"/>
                              <w:hideMark/>
                            </w:tcPr>
                            <w:p w14:paraId="5063553B"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t>Crude Oil-CL=F</w:t>
                              </w:r>
                            </w:p>
                          </w:tc>
                          <w:tc>
                            <w:tcPr>
                              <w:tcW w:w="0" w:type="auto"/>
                              <w:shd w:val="clear" w:color="auto" w:fill="DFE7E7"/>
                              <w:hideMark/>
                            </w:tcPr>
                            <w:p w14:paraId="0DC9998B"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$71.76</w:t>
                              </w:r>
                            </w:p>
                          </w:tc>
                          <w:tc>
                            <w:tcPr>
                              <w:tcW w:w="0" w:type="auto"/>
                              <w:shd w:val="clear" w:color="auto" w:fill="DFE7E7"/>
                              <w:hideMark/>
                            </w:tcPr>
                            <w:p w14:paraId="0A142C8F"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$67.18</w:t>
                              </w:r>
                            </w:p>
                          </w:tc>
                          <w:tc>
                            <w:tcPr>
                              <w:tcW w:w="0" w:type="auto"/>
                              <w:shd w:val="clear" w:color="auto" w:fill="DFE7E7"/>
                              <w:hideMark/>
                            </w:tcPr>
                            <w:p w14:paraId="42FE333B"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$68.29</w:t>
                              </w:r>
                            </w:p>
                          </w:tc>
                          <w:tc>
                            <w:tcPr>
                              <w:tcW w:w="0" w:type="auto"/>
                              <w:shd w:val="clear" w:color="auto" w:fill="DFE7E7"/>
                              <w:hideMark/>
                            </w:tcPr>
                            <w:p w14:paraId="2D002AA3"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1.65%</w:t>
                              </w:r>
                            </w:p>
                          </w:tc>
                          <w:tc>
                            <w:tcPr>
                              <w:tcW w:w="0" w:type="auto"/>
                              <w:shd w:val="clear" w:color="auto" w:fill="DFE7E7"/>
                              <w:hideMark/>
                            </w:tcPr>
                            <w:p w14:paraId="7A707EA3"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-4.84%</w:t>
                              </w:r>
                            </w:p>
                          </w:tc>
                        </w:tr>
                        <w:tr w:rsidR="00D10444" w:rsidRPr="00D10444" w14:paraId="7E4310AF" w14:textId="77777777">
                          <w:trPr>
                            <w:tblCellSpacing w:w="0" w:type="dxa"/>
                          </w:trPr>
                          <w:tc>
                            <w:tcPr>
                              <w:tcW w:w="0" w:type="auto"/>
                              <w:shd w:val="clear" w:color="auto" w:fill="DFE7E7"/>
                              <w:hideMark/>
                            </w:tcPr>
                            <w:p w14:paraId="34960024" w14:textId="77777777" w:rsidR="00D10444" w:rsidRPr="00D10444" w:rsidRDefault="00D10444" w:rsidP="00D10444">
                              <w:pPr>
                                <w:spacing w:before="150" w:after="150" w:line="240" w:lineRule="auto"/>
                                <w:rPr>
                                  <w:rFonts w:ascii="Times New Roman" w:eastAsia="Times New Roman" w:hAnsi="Times New Roman" w:cs="Times New Roman"/>
                                  <w:b/>
                                  <w:bCs/>
                                  <w:sz w:val="18"/>
                                  <w:szCs w:val="18"/>
                                </w:rPr>
                              </w:pPr>
                              <w:r w:rsidRPr="00D10444">
                                <w:rPr>
                                  <w:rFonts w:ascii="Times New Roman" w:eastAsia="Times New Roman" w:hAnsi="Times New Roman" w:cs="Times New Roman"/>
                                  <w:b/>
                                  <w:bCs/>
                                  <w:sz w:val="18"/>
                                  <w:szCs w:val="18"/>
                                </w:rPr>
                                <w:lastRenderedPageBreak/>
                                <w:t>Gold-GC=F</w:t>
                              </w:r>
                            </w:p>
                          </w:tc>
                          <w:tc>
                            <w:tcPr>
                              <w:tcW w:w="0" w:type="auto"/>
                              <w:shd w:val="clear" w:color="auto" w:fill="DFE7E7"/>
                              <w:hideMark/>
                            </w:tcPr>
                            <w:p w14:paraId="79902C8E"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$2,638.50</w:t>
                              </w:r>
                            </w:p>
                          </w:tc>
                          <w:tc>
                            <w:tcPr>
                              <w:tcW w:w="0" w:type="auto"/>
                              <w:shd w:val="clear" w:color="auto" w:fill="DFE7E7"/>
                              <w:hideMark/>
                            </w:tcPr>
                            <w:p w14:paraId="2B0A4EBB"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$2,991.20</w:t>
                              </w:r>
                            </w:p>
                          </w:tc>
                          <w:tc>
                            <w:tcPr>
                              <w:tcW w:w="0" w:type="auto"/>
                              <w:shd w:val="clear" w:color="auto" w:fill="DFE7E7"/>
                              <w:hideMark/>
                            </w:tcPr>
                            <w:p w14:paraId="457B1B3F"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$3,028.10</w:t>
                              </w:r>
                            </w:p>
                          </w:tc>
                          <w:tc>
                            <w:tcPr>
                              <w:tcW w:w="0" w:type="auto"/>
                              <w:shd w:val="clear" w:color="auto" w:fill="DFE7E7"/>
                              <w:hideMark/>
                            </w:tcPr>
                            <w:p w14:paraId="1ED12C63"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1.23%</w:t>
                              </w:r>
                            </w:p>
                          </w:tc>
                          <w:tc>
                            <w:tcPr>
                              <w:tcW w:w="0" w:type="auto"/>
                              <w:shd w:val="clear" w:color="auto" w:fill="DFE7E7"/>
                              <w:hideMark/>
                            </w:tcPr>
                            <w:p w14:paraId="59A0860A" w14:textId="77777777" w:rsidR="00D10444" w:rsidRPr="00D10444" w:rsidRDefault="00D10444" w:rsidP="00D10444">
                              <w:pPr>
                                <w:spacing w:before="150" w:after="150" w:line="240" w:lineRule="auto"/>
                                <w:rPr>
                                  <w:rFonts w:ascii="Times New Roman" w:eastAsia="Times New Roman" w:hAnsi="Times New Roman" w:cs="Times New Roman"/>
                                  <w:sz w:val="18"/>
                                  <w:szCs w:val="18"/>
                                </w:rPr>
                              </w:pPr>
                              <w:r w:rsidRPr="00D10444">
                                <w:rPr>
                                  <w:rFonts w:ascii="Times New Roman" w:eastAsia="Times New Roman" w:hAnsi="Times New Roman" w:cs="Times New Roman"/>
                                  <w:sz w:val="18"/>
                                  <w:szCs w:val="18"/>
                                </w:rPr>
                                <w:t>14.77%</w:t>
                              </w:r>
                            </w:p>
                          </w:tc>
                        </w:tr>
                      </w:tbl>
                      <w:p w14:paraId="6DE40EB8" w14:textId="77777777" w:rsidR="00D10444" w:rsidRPr="00D10444" w:rsidRDefault="00D10444" w:rsidP="00D10444">
                        <w:pPr>
                          <w:spacing w:after="105" w:line="240" w:lineRule="auto"/>
                          <w:rPr>
                            <w:rFonts w:ascii="Arial" w:eastAsia="Times New Roman" w:hAnsi="Arial" w:cs="Arial"/>
                            <w:color w:val="000000"/>
                            <w:sz w:val="24"/>
                            <w:szCs w:val="24"/>
                          </w:rPr>
                        </w:pPr>
                        <w:proofErr w:type="gramStart"/>
                        <w:r w:rsidRPr="00D10444">
                          <w:rPr>
                            <w:rFonts w:ascii="Arial" w:eastAsia="Times New Roman" w:hAnsi="Arial" w:cs="Arial"/>
                            <w:color w:val="000000"/>
                            <w:sz w:val="24"/>
                            <w:szCs w:val="24"/>
                          </w:rPr>
                          <w:t>Chart</w:t>
                        </w:r>
                        <w:proofErr w:type="gramEnd"/>
                        <w:r w:rsidRPr="00D10444">
                          <w:rPr>
                            <w:rFonts w:ascii="Arial" w:eastAsia="Times New Roman" w:hAnsi="Arial" w:cs="Arial"/>
                            <w:color w:val="000000"/>
                            <w:sz w:val="24"/>
                            <w:szCs w:val="24"/>
                          </w:rPr>
                          <w:t xml:space="preserve"> reflects price changes, not total return. Because it does not include dividends or splits, it should not be used to benchmark performance of specific investments.</w:t>
                        </w:r>
                      </w:p>
                      <w:p w14:paraId="6115A081" w14:textId="77777777" w:rsidR="00D10444" w:rsidRPr="00D10444" w:rsidRDefault="00D10444" w:rsidP="00D10444">
                        <w:pPr>
                          <w:spacing w:after="75" w:line="240" w:lineRule="auto"/>
                          <w:outlineLvl w:val="2"/>
                          <w:rPr>
                            <w:rFonts w:ascii="Arial" w:eastAsia="Times New Roman" w:hAnsi="Arial" w:cs="Arial"/>
                            <w:b/>
                            <w:bCs/>
                            <w:color w:val="336666"/>
                            <w:sz w:val="24"/>
                            <w:szCs w:val="24"/>
                          </w:rPr>
                        </w:pPr>
                        <w:r w:rsidRPr="00D10444">
                          <w:rPr>
                            <w:rFonts w:ascii="Arial" w:eastAsia="Times New Roman" w:hAnsi="Arial" w:cs="Arial"/>
                            <w:b/>
                            <w:bCs/>
                            <w:color w:val="336666"/>
                            <w:sz w:val="24"/>
                            <w:szCs w:val="24"/>
                          </w:rPr>
                          <w:t>Last Week's Economic News</w:t>
                        </w:r>
                      </w:p>
                      <w:p w14:paraId="15BB51DA" w14:textId="77777777" w:rsidR="00D10444" w:rsidRPr="00D10444" w:rsidRDefault="00D10444" w:rsidP="00D10444">
                        <w:pPr>
                          <w:numPr>
                            <w:ilvl w:val="0"/>
                            <w:numId w:val="116"/>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In a move that was expected, the Federal Open Market Committee decided to keep the target range for the federal funds rate at its current 4.25%-4.50%. In support of its decision, the Committee noted that economic activity continued to expand at a solid pace, the unemployment rate stabilized at a low level, and labor market conditions remained solid. However, inflation remained somewhat elevated and uncertainty around the economic outlook has increased. Moving forward, the Committee will take into consideration a wide range of information, including readings on labor market conditions, inflation pressures and expectations, and financial and international developments. As such, the FOMC would be prepared to adjust the stance of monetary policy as appropriate if risks emerge that could impede the attainment of the Committee's goals of maximum employment and inflation of 2.0%. The latest projections from the Committee indicate two more interest rate cuts later this year.</w:t>
                        </w:r>
                      </w:p>
                      <w:p w14:paraId="4E3FDBA1" w14:textId="77777777" w:rsidR="00D10444" w:rsidRPr="00D10444" w:rsidRDefault="00D10444" w:rsidP="00D10444">
                        <w:pPr>
                          <w:numPr>
                            <w:ilvl w:val="0"/>
                            <w:numId w:val="117"/>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Sales at the retail level fell short of expectations in February. Retail sales rose 0.2% last month and 3.1% since February 2024. Retail trade sales were up 0.5% from January 2025 and up 3.4% from last year. Food and beverage store sales were up 3.9% from last year, while </w:t>
                        </w:r>
                        <w:proofErr w:type="spellStart"/>
                        <w:r w:rsidRPr="00D10444">
                          <w:rPr>
                            <w:rFonts w:ascii="Arial" w:eastAsia="Times New Roman" w:hAnsi="Arial" w:cs="Arial"/>
                            <w:color w:val="000000"/>
                            <w:sz w:val="24"/>
                            <w:szCs w:val="24"/>
                          </w:rPr>
                          <w:t>nonstore</w:t>
                        </w:r>
                        <w:proofErr w:type="spellEnd"/>
                        <w:r w:rsidRPr="00D10444">
                          <w:rPr>
                            <w:rFonts w:ascii="Arial" w:eastAsia="Times New Roman" w:hAnsi="Arial" w:cs="Arial"/>
                            <w:color w:val="000000"/>
                            <w:sz w:val="24"/>
                            <w:szCs w:val="24"/>
                          </w:rPr>
                          <w:t xml:space="preserve"> (online) retailer sales were up 6.5% from February 2024.</w:t>
                        </w:r>
                      </w:p>
                      <w:p w14:paraId="02D99B9D" w14:textId="77777777" w:rsidR="00D10444" w:rsidRPr="00D10444" w:rsidRDefault="00D10444" w:rsidP="00D10444">
                        <w:pPr>
                          <w:numPr>
                            <w:ilvl w:val="0"/>
                            <w:numId w:val="118"/>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The number of </w:t>
                        </w:r>
                        <w:proofErr w:type="gramStart"/>
                        <w:r w:rsidRPr="00D10444">
                          <w:rPr>
                            <w:rFonts w:ascii="Arial" w:eastAsia="Times New Roman" w:hAnsi="Arial" w:cs="Arial"/>
                            <w:color w:val="000000"/>
                            <w:sz w:val="24"/>
                            <w:szCs w:val="24"/>
                          </w:rPr>
                          <w:t>issued residential building permits</w:t>
                        </w:r>
                        <w:proofErr w:type="gramEnd"/>
                        <w:r w:rsidRPr="00D10444">
                          <w:rPr>
                            <w:rFonts w:ascii="Arial" w:eastAsia="Times New Roman" w:hAnsi="Arial" w:cs="Arial"/>
                            <w:color w:val="000000"/>
                            <w:sz w:val="24"/>
                            <w:szCs w:val="24"/>
                          </w:rPr>
                          <w:t xml:space="preserve"> declined 1.2% in February from the January estimate. The February total was 6.8% below the February 2024 rate. Single-family building permits dipped 0.2% in February. Housing starts rose 11.2% last month but were 2.9% below the prior year's estimate. Single-family housing starts in February were 11.4% above the January figure. Housing completions in February were 4.0% below the January estimate and 6.2% under the February 2024 rate. Single-family housing completions in February were 7.1% above the January rate.</w:t>
                        </w:r>
                      </w:p>
                      <w:p w14:paraId="71338DA1" w14:textId="77777777" w:rsidR="00D10444" w:rsidRPr="00D10444" w:rsidRDefault="00D10444" w:rsidP="00D10444">
                        <w:pPr>
                          <w:numPr>
                            <w:ilvl w:val="0"/>
                            <w:numId w:val="119"/>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Sales of existing homes rose 4.2% in February. Year over year, </w:t>
                        </w:r>
                        <w:proofErr w:type="gramStart"/>
                        <w:r w:rsidRPr="00D10444">
                          <w:rPr>
                            <w:rFonts w:ascii="Arial" w:eastAsia="Times New Roman" w:hAnsi="Arial" w:cs="Arial"/>
                            <w:color w:val="000000"/>
                            <w:sz w:val="24"/>
                            <w:szCs w:val="24"/>
                          </w:rPr>
                          <w:t>existing-home</w:t>
                        </w:r>
                        <w:proofErr w:type="gramEnd"/>
                        <w:r w:rsidRPr="00D10444">
                          <w:rPr>
                            <w:rFonts w:ascii="Arial" w:eastAsia="Times New Roman" w:hAnsi="Arial" w:cs="Arial"/>
                            <w:color w:val="000000"/>
                            <w:sz w:val="24"/>
                            <w:szCs w:val="24"/>
                          </w:rPr>
                          <w:t xml:space="preserve"> sales slid 1.2%. The median </w:t>
                        </w:r>
                        <w:proofErr w:type="gramStart"/>
                        <w:r w:rsidRPr="00D10444">
                          <w:rPr>
                            <w:rFonts w:ascii="Arial" w:eastAsia="Times New Roman" w:hAnsi="Arial" w:cs="Arial"/>
                            <w:color w:val="000000"/>
                            <w:sz w:val="24"/>
                            <w:szCs w:val="24"/>
                          </w:rPr>
                          <w:t>existing-home</w:t>
                        </w:r>
                        <w:proofErr w:type="gramEnd"/>
                        <w:r w:rsidRPr="00D10444">
                          <w:rPr>
                            <w:rFonts w:ascii="Arial" w:eastAsia="Times New Roman" w:hAnsi="Arial" w:cs="Arial"/>
                            <w:color w:val="000000"/>
                            <w:sz w:val="24"/>
                            <w:szCs w:val="24"/>
                          </w:rPr>
                          <w:t xml:space="preserve"> price in February was $398,400, 1.3% above the January price ($393,400) and up 3.8% from one year ago ($383,800). Unsold </w:t>
                        </w:r>
                        <w:r w:rsidRPr="00D10444">
                          <w:rPr>
                            <w:rFonts w:ascii="Arial" w:eastAsia="Times New Roman" w:hAnsi="Arial" w:cs="Arial"/>
                            <w:color w:val="000000"/>
                            <w:sz w:val="24"/>
                            <w:szCs w:val="24"/>
                          </w:rPr>
                          <w:lastRenderedPageBreak/>
                          <w:t>inventory sat at a 3.5-month supply at the current sales pace, identical to January and up from 3.0 months in February 2024. Sales of existing single-family homes rose 5.7% in February but 0.3% below the estimate from a year ago. The median existing single-family home price was $402,500 in February ($398,100 in January) well above the February 2024 price of $388,000. According to Freddie Mac, the 30-year fixed-rate mortgage averaged 6.65% as of March 13. That's up from 6.63% one week ago but down from 6.74% one year ago.</w:t>
                        </w:r>
                      </w:p>
                      <w:p w14:paraId="61CD5126" w14:textId="77777777" w:rsidR="00D10444" w:rsidRPr="00D10444" w:rsidRDefault="00D10444" w:rsidP="00D10444">
                        <w:pPr>
                          <w:numPr>
                            <w:ilvl w:val="0"/>
                            <w:numId w:val="120"/>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Industrial production (IP) increased 0.7% in February after moving up 0.3% in January. Manufacturing output rose 0.9%, boosted by a jump of 8.5% for motor vehicles and parts. The output of manufacturing excluding motor vehicles and parts </w:t>
                        </w:r>
                        <w:proofErr w:type="gramStart"/>
                        <w:r w:rsidRPr="00D10444">
                          <w:rPr>
                            <w:rFonts w:ascii="Arial" w:eastAsia="Times New Roman" w:hAnsi="Arial" w:cs="Arial"/>
                            <w:color w:val="000000"/>
                            <w:sz w:val="24"/>
                            <w:szCs w:val="24"/>
                          </w:rPr>
                          <w:t>increased</w:t>
                        </w:r>
                        <w:proofErr w:type="gramEnd"/>
                        <w:r w:rsidRPr="00D10444">
                          <w:rPr>
                            <w:rFonts w:ascii="Arial" w:eastAsia="Times New Roman" w:hAnsi="Arial" w:cs="Arial"/>
                            <w:color w:val="000000"/>
                            <w:sz w:val="24"/>
                            <w:szCs w:val="24"/>
                          </w:rPr>
                          <w:t xml:space="preserve"> 0.4%. Mining gained 2.8%, while utilities decreased 2.5%. Total IP in February was 1.4% above its year-earlier level.</w:t>
                        </w:r>
                      </w:p>
                      <w:p w14:paraId="1CAF12B9" w14:textId="77777777" w:rsidR="00D10444" w:rsidRPr="00D10444" w:rsidRDefault="00D10444" w:rsidP="00D10444">
                        <w:pPr>
                          <w:numPr>
                            <w:ilvl w:val="0"/>
                            <w:numId w:val="121"/>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U.S. import prices increased 0.4% in February following a 0.4% advance in January. Higher fuel and nonfuel prices in February contributed to the overall increase in import prices. Prices for U.S. imports rose 2.0% over the past year. U.S. export prices rose 0.1% in February following a 1.3% advance the previous month. Higher prices for </w:t>
                        </w:r>
                        <w:proofErr w:type="gramStart"/>
                        <w:r w:rsidRPr="00D10444">
                          <w:rPr>
                            <w:rFonts w:ascii="Arial" w:eastAsia="Times New Roman" w:hAnsi="Arial" w:cs="Arial"/>
                            <w:color w:val="000000"/>
                            <w:sz w:val="24"/>
                            <w:szCs w:val="24"/>
                          </w:rPr>
                          <w:t>nonagricultural</w:t>
                        </w:r>
                        <w:proofErr w:type="gramEnd"/>
                        <w:r w:rsidRPr="00D10444">
                          <w:rPr>
                            <w:rFonts w:ascii="Arial" w:eastAsia="Times New Roman" w:hAnsi="Arial" w:cs="Arial"/>
                            <w:color w:val="000000"/>
                            <w:sz w:val="24"/>
                            <w:szCs w:val="24"/>
                          </w:rPr>
                          <w:t xml:space="preserve"> and agricultural exports each contributed to the increase in February. U.S. export prices have not declined on a one-month basis since September 2024. Prices for U.S. exports increased 2.1% over the past year.</w:t>
                        </w:r>
                      </w:p>
                      <w:p w14:paraId="036DF69D" w14:textId="77777777" w:rsidR="00D10444" w:rsidRPr="00D10444" w:rsidRDefault="00D10444" w:rsidP="00D10444">
                        <w:pPr>
                          <w:numPr>
                            <w:ilvl w:val="0"/>
                            <w:numId w:val="122"/>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The national average retail price for regular gasoline was $3.058 per gallon on March 17, $0.011 per gallon below the prior week's price and $0.395 per gallon less than a year ago. Also, as of March 17, the East Coast price ticked up $0.004 to $2.949 per gallon; the Midwest price decreased $0.005 to $2.894 per gallon; the Gulf Coast price declined $0.051 to $2.629 per gallon; the Rocky Mountain price increased $0.038 to $2.998 per gallon; and the West Coast price dipped $0.038 to $4.061 per gallon.</w:t>
                        </w:r>
                      </w:p>
                      <w:p w14:paraId="2C9A8960" w14:textId="77777777" w:rsidR="00D10444" w:rsidRPr="00D10444" w:rsidRDefault="00D10444" w:rsidP="00D10444">
                        <w:pPr>
                          <w:numPr>
                            <w:ilvl w:val="0"/>
                            <w:numId w:val="123"/>
                          </w:numPr>
                          <w:spacing w:before="100" w:beforeAutospacing="1" w:after="100" w:afterAutospacing="1"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For the week </w:t>
                        </w:r>
                        <w:proofErr w:type="gramStart"/>
                        <w:r w:rsidRPr="00D10444">
                          <w:rPr>
                            <w:rFonts w:ascii="Arial" w:eastAsia="Times New Roman" w:hAnsi="Arial" w:cs="Arial"/>
                            <w:color w:val="000000"/>
                            <w:sz w:val="24"/>
                            <w:szCs w:val="24"/>
                          </w:rPr>
                          <w:t>ended</w:t>
                        </w:r>
                        <w:proofErr w:type="gramEnd"/>
                        <w:r w:rsidRPr="00D10444">
                          <w:rPr>
                            <w:rFonts w:ascii="Arial" w:eastAsia="Times New Roman" w:hAnsi="Arial" w:cs="Arial"/>
                            <w:color w:val="000000"/>
                            <w:sz w:val="24"/>
                            <w:szCs w:val="24"/>
                          </w:rPr>
                          <w:t xml:space="preserve"> March 15, there were 223,000 new claims for unemployment insurance, an increase of 2,000 from the previous week's level, which was revised up by 1,000. According to the Department of Labor, the advance rate for insured unemployment claims for the week ended March 8 was 1.2%. The </w:t>
                        </w:r>
                        <w:proofErr w:type="gramStart"/>
                        <w:r w:rsidRPr="00D10444">
                          <w:rPr>
                            <w:rFonts w:ascii="Arial" w:eastAsia="Times New Roman" w:hAnsi="Arial" w:cs="Arial"/>
                            <w:color w:val="000000"/>
                            <w:sz w:val="24"/>
                            <w:szCs w:val="24"/>
                          </w:rPr>
                          <w:t>advance</w:t>
                        </w:r>
                        <w:proofErr w:type="gramEnd"/>
                        <w:r w:rsidRPr="00D10444">
                          <w:rPr>
                            <w:rFonts w:ascii="Arial" w:eastAsia="Times New Roman" w:hAnsi="Arial" w:cs="Arial"/>
                            <w:color w:val="000000"/>
                            <w:sz w:val="24"/>
                            <w:szCs w:val="24"/>
                          </w:rPr>
                          <w:t xml:space="preserve"> number of those receiving unemployment insurance benefits during the week ended March 8 was 1,892,000, an increase of 33,000 from the previous week's level, which was revised down by 11,000. States and territories with the highest insured unemployment rates for the week ended March 1 were Rhode Island (3.0%), New Jersey (2.9%), Minnesota (2.5%), California (2.4%), Massachusetts (2.4%), Illinois </w:t>
                        </w:r>
                        <w:r w:rsidRPr="00D10444">
                          <w:rPr>
                            <w:rFonts w:ascii="Arial" w:eastAsia="Times New Roman" w:hAnsi="Arial" w:cs="Arial"/>
                            <w:color w:val="000000"/>
                            <w:sz w:val="24"/>
                            <w:szCs w:val="24"/>
                          </w:rPr>
                          <w:lastRenderedPageBreak/>
                          <w:t>(2.3%), Washington (2.3%), Montana (2.2%), Pennsylvania (2.0%), Connecticut (1.9%), District of Columbia (1.9%), and New York (1.9%). The largest increases in initial claims for unemployment insurance for the week ended March 8 were in California (+4,280), Texas (+1,470), Virginia (+1,155), Michigan (+910), and Arizona (+457), while the largest decreases were in New York (-15,113), Wisconsin (-1,766), Missouri (-862), Kentucky (-825), and Ohio (-666).</w:t>
                        </w:r>
                      </w:p>
                      <w:p w14:paraId="3F950563" w14:textId="77777777" w:rsidR="00D10444" w:rsidRPr="00D10444" w:rsidRDefault="00D10444" w:rsidP="00D10444">
                        <w:pPr>
                          <w:spacing w:after="75" w:line="240" w:lineRule="auto"/>
                          <w:outlineLvl w:val="2"/>
                          <w:rPr>
                            <w:rFonts w:ascii="Arial" w:eastAsia="Times New Roman" w:hAnsi="Arial" w:cs="Arial"/>
                            <w:b/>
                            <w:bCs/>
                            <w:color w:val="336666"/>
                            <w:sz w:val="24"/>
                            <w:szCs w:val="24"/>
                          </w:rPr>
                        </w:pPr>
                        <w:r w:rsidRPr="00D10444">
                          <w:rPr>
                            <w:rFonts w:ascii="Arial" w:eastAsia="Times New Roman" w:hAnsi="Arial" w:cs="Arial"/>
                            <w:b/>
                            <w:bCs/>
                            <w:color w:val="336666"/>
                            <w:sz w:val="24"/>
                            <w:szCs w:val="24"/>
                          </w:rPr>
                          <w:t>Eye on the Week Ahead</w:t>
                        </w:r>
                      </w:p>
                      <w:p w14:paraId="52FC74D1"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color w:val="000000"/>
                            <w:sz w:val="24"/>
                            <w:szCs w:val="24"/>
                          </w:rPr>
                          <w:t xml:space="preserve">The final estimate of gross domestic product for the fourth quarter is available this week. The economy expanded at an </w:t>
                        </w:r>
                        <w:proofErr w:type="gramStart"/>
                        <w:r w:rsidRPr="00D10444">
                          <w:rPr>
                            <w:rFonts w:ascii="Arial" w:eastAsia="Times New Roman" w:hAnsi="Arial" w:cs="Arial"/>
                            <w:color w:val="000000"/>
                            <w:sz w:val="24"/>
                            <w:szCs w:val="24"/>
                          </w:rPr>
                          <w:t>annualized</w:t>
                        </w:r>
                        <w:proofErr w:type="gramEnd"/>
                        <w:r w:rsidRPr="00D10444">
                          <w:rPr>
                            <w:rFonts w:ascii="Arial" w:eastAsia="Times New Roman" w:hAnsi="Arial" w:cs="Arial"/>
                            <w:color w:val="000000"/>
                            <w:sz w:val="24"/>
                            <w:szCs w:val="24"/>
                          </w:rPr>
                          <w:t xml:space="preserve"> rate of 2.3% in the fourth quarter, according to the second estimate. The latest Personal Income and Outlays report for February is also out this week. January data showed that consumer spending, a main driver of the economy, declined 0.2%, while consumer prices rose 0.3%.</w:t>
                        </w:r>
                      </w:p>
                      <w:p w14:paraId="3A1A4533"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i/>
                            <w:iCs/>
                            <w:color w:val="000000"/>
                            <w:sz w:val="24"/>
                            <w:szCs w:val="24"/>
                          </w:rPr>
                          <w:t xml:space="preserve">Data sources: Economic: Based on data from U.S. Bureau of Labor Statistics (unemployment, inflation); U.S. Department of Commerce (GDP, corporate profits, retail sales, housing); S&amp;P/Case-Shiller 20-City Composite Index (home prices); Institute for Supply Management (manufacturing/services). Performance: Based on data reported in WSJ Market Data Center (indexes); U.S. Treasury (Treasury yields); U.S. Energy Information Administration/Bloomberg.com Market Data (oil spot price, WTI, Cushing, OK); www.goldprice.org (spot gold/silver); </w:t>
                        </w:r>
                        <w:proofErr w:type="spellStart"/>
                        <w:r w:rsidRPr="00D10444">
                          <w:rPr>
                            <w:rFonts w:ascii="Arial" w:eastAsia="Times New Roman" w:hAnsi="Arial" w:cs="Arial"/>
                            <w:i/>
                            <w:iCs/>
                            <w:color w:val="000000"/>
                            <w:sz w:val="24"/>
                            <w:szCs w:val="24"/>
                          </w:rPr>
                          <w:t>Oanda</w:t>
                        </w:r>
                        <w:proofErr w:type="spellEnd"/>
                        <w:r w:rsidRPr="00D10444">
                          <w:rPr>
                            <w:rFonts w:ascii="Arial" w:eastAsia="Times New Roman" w:hAnsi="Arial" w:cs="Arial"/>
                            <w:i/>
                            <w:iCs/>
                            <w:color w:val="000000"/>
                            <w:sz w:val="24"/>
                            <w:szCs w:val="24"/>
                          </w:rPr>
                          <w:t>/FX Street (currency exchange rates).</w:t>
                        </w:r>
                      </w:p>
                      <w:p w14:paraId="1CDD961D"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i/>
                            <w:iCs/>
                            <w:color w:val="000000"/>
                            <w:sz w:val="24"/>
                            <w:szCs w:val="24"/>
                          </w:rPr>
                          <w:t xml:space="preserve">News items are based on reports from multiple commonly available international news sources (i.e., wire services) and are independently verified when </w:t>
                        </w:r>
                        <w:proofErr w:type="gramStart"/>
                        <w:r w:rsidRPr="00D10444">
                          <w:rPr>
                            <w:rFonts w:ascii="Arial" w:eastAsia="Times New Roman" w:hAnsi="Arial" w:cs="Arial"/>
                            <w:i/>
                            <w:iCs/>
                            <w:color w:val="000000"/>
                            <w:sz w:val="24"/>
                            <w:szCs w:val="24"/>
                          </w:rPr>
                          <w:t>necessary</w:t>
                        </w:r>
                        <w:proofErr w:type="gramEnd"/>
                        <w:r w:rsidRPr="00D10444">
                          <w:rPr>
                            <w:rFonts w:ascii="Arial" w:eastAsia="Times New Roman" w:hAnsi="Arial" w:cs="Arial"/>
                            <w:i/>
                            <w:iCs/>
                            <w:color w:val="000000"/>
                            <w:sz w:val="24"/>
                            <w:szCs w:val="24"/>
                          </w:rPr>
                          <w:t xml:space="preserve"> with secondary sources such as government agencies, corporate press releases, or trade organizations. All information is based on sources deemed reliable, but no warranty or guarantee is made as to its accuracy or completeness. Neither the information nor </w:t>
                        </w:r>
                        <w:proofErr w:type="gramStart"/>
                        <w:r w:rsidRPr="00D10444">
                          <w:rPr>
                            <w:rFonts w:ascii="Arial" w:eastAsia="Times New Roman" w:hAnsi="Arial" w:cs="Arial"/>
                            <w:i/>
                            <w:iCs/>
                            <w:color w:val="000000"/>
                            <w:sz w:val="24"/>
                            <w:szCs w:val="24"/>
                          </w:rPr>
                          <w:t>any opinion</w:t>
                        </w:r>
                        <w:proofErr w:type="gramEnd"/>
                        <w:r w:rsidRPr="00D10444">
                          <w:rPr>
                            <w:rFonts w:ascii="Arial" w:eastAsia="Times New Roman" w:hAnsi="Arial" w:cs="Arial"/>
                            <w:i/>
                            <w:iCs/>
                            <w:color w:val="000000"/>
                            <w:sz w:val="24"/>
                            <w:szCs w:val="24"/>
                          </w:rPr>
                          <w:t xml:space="preserve"> expressed herein constitutes a solicitation for the purchase or sale of any </w:t>
                        </w:r>
                        <w:proofErr w:type="gramStart"/>
                        <w:r w:rsidRPr="00D10444">
                          <w:rPr>
                            <w:rFonts w:ascii="Arial" w:eastAsia="Times New Roman" w:hAnsi="Arial" w:cs="Arial"/>
                            <w:i/>
                            <w:iCs/>
                            <w:color w:val="000000"/>
                            <w:sz w:val="24"/>
                            <w:szCs w:val="24"/>
                          </w:rPr>
                          <w:t>securities, and</w:t>
                        </w:r>
                        <w:proofErr w:type="gramEnd"/>
                        <w:r w:rsidRPr="00D10444">
                          <w:rPr>
                            <w:rFonts w:ascii="Arial" w:eastAsia="Times New Roman" w:hAnsi="Arial" w:cs="Arial"/>
                            <w:i/>
                            <w:iCs/>
                            <w:color w:val="000000"/>
                            <w:sz w:val="24"/>
                            <w:szCs w:val="24"/>
                          </w:rPr>
                          <w:t xml:space="preserve"> should not be relied on as financial advice. Forecasts are based on current conditions, subject to change, and may not come to pass. U.S. Treasury securities are guaranteed by the federal government as to the timely payment of principal and interest. The principal value of Treasury securities and other bonds fluctuates with market conditions. Bonds are subject to inflation, interest-rate, and credit risks. As interest rates rise, bond prices typically fall. A bond sold or redeemed prior to maturity may be subject to loss. Past performance </w:t>
                        </w:r>
                        <w:proofErr w:type="gramStart"/>
                        <w:r w:rsidRPr="00D10444">
                          <w:rPr>
                            <w:rFonts w:ascii="Arial" w:eastAsia="Times New Roman" w:hAnsi="Arial" w:cs="Arial"/>
                            <w:i/>
                            <w:iCs/>
                            <w:color w:val="000000"/>
                            <w:sz w:val="24"/>
                            <w:szCs w:val="24"/>
                          </w:rPr>
                          <w:t>is</w:t>
                        </w:r>
                        <w:proofErr w:type="gramEnd"/>
                        <w:r w:rsidRPr="00D10444">
                          <w:rPr>
                            <w:rFonts w:ascii="Arial" w:eastAsia="Times New Roman" w:hAnsi="Arial" w:cs="Arial"/>
                            <w:i/>
                            <w:iCs/>
                            <w:color w:val="000000"/>
                            <w:sz w:val="24"/>
                            <w:szCs w:val="24"/>
                          </w:rPr>
                          <w:t xml:space="preserve"> no guarantee of future results. All investing involves risk, including the potential loss of principal, and there can be no guarantee that any investing strategy will be successful.</w:t>
                        </w:r>
                      </w:p>
                      <w:p w14:paraId="7BD48F2D" w14:textId="77777777" w:rsidR="00D10444" w:rsidRPr="00D10444" w:rsidRDefault="00D10444" w:rsidP="00D10444">
                        <w:pPr>
                          <w:spacing w:after="105" w:line="240" w:lineRule="auto"/>
                          <w:rPr>
                            <w:rFonts w:ascii="Arial" w:eastAsia="Times New Roman" w:hAnsi="Arial" w:cs="Arial"/>
                            <w:color w:val="000000"/>
                            <w:sz w:val="24"/>
                            <w:szCs w:val="24"/>
                          </w:rPr>
                        </w:pPr>
                        <w:r w:rsidRPr="00D10444">
                          <w:rPr>
                            <w:rFonts w:ascii="Arial" w:eastAsia="Times New Roman" w:hAnsi="Arial" w:cs="Arial"/>
                            <w:i/>
                            <w:iCs/>
                            <w:color w:val="000000"/>
                            <w:sz w:val="24"/>
                            <w:szCs w:val="24"/>
                          </w:rPr>
                          <w:t xml:space="preserve">The Dow Jones Industrial Average (DJIA) is a price-weighted index composed of 30 widely traded blue-chip U.S. common stocks. The S&amp;P 500 is a market-cap weighted index composed of the common stocks of 500 largest, publicly traded companies in leading industries of the U.S. economy. The NASDAQ Composite Index is a market-value </w:t>
                        </w:r>
                        <w:r w:rsidRPr="00D10444">
                          <w:rPr>
                            <w:rFonts w:ascii="Arial" w:eastAsia="Times New Roman" w:hAnsi="Arial" w:cs="Arial"/>
                            <w:i/>
                            <w:iCs/>
                            <w:color w:val="000000"/>
                            <w:sz w:val="24"/>
                            <w:szCs w:val="24"/>
                          </w:rPr>
                          <w:lastRenderedPageBreak/>
                          <w:t xml:space="preserve">weighted index of all common stocks listed on the Nasdaq stock exchange. The Russell 2000 is a market-cap weighted index composed of 2,000 U.S. small-cap common stocks. The Global Dow is an equally weighted index of 150 widely traded blue-chip common stocks worldwide. The U.S. Dollar Index is a geometrically weighted index of the value of the U.S. dollar relative to six foreign currencies. </w:t>
                        </w:r>
                        <w:proofErr w:type="gramStart"/>
                        <w:r w:rsidRPr="00D10444">
                          <w:rPr>
                            <w:rFonts w:ascii="Arial" w:eastAsia="Times New Roman" w:hAnsi="Arial" w:cs="Arial"/>
                            <w:i/>
                            <w:iCs/>
                            <w:color w:val="000000"/>
                            <w:sz w:val="24"/>
                            <w:szCs w:val="24"/>
                          </w:rPr>
                          <w:t>Market</w:t>
                        </w:r>
                        <w:proofErr w:type="gramEnd"/>
                        <w:r w:rsidRPr="00D10444">
                          <w:rPr>
                            <w:rFonts w:ascii="Arial" w:eastAsia="Times New Roman" w:hAnsi="Arial" w:cs="Arial"/>
                            <w:i/>
                            <w:iCs/>
                            <w:color w:val="000000"/>
                            <w:sz w:val="24"/>
                            <w:szCs w:val="24"/>
                          </w:rPr>
                          <w:t xml:space="preserve"> indexes listed are unmanaged and are not available for direct investment.</w:t>
                        </w:r>
                      </w:p>
                    </w:tc>
                  </w:tr>
                </w:tbl>
                <w:p w14:paraId="39D0AAC3" w14:textId="77777777" w:rsidR="00D10444" w:rsidRPr="00D10444" w:rsidRDefault="00D10444" w:rsidP="00D10444">
                  <w:pPr>
                    <w:spacing w:after="0" w:line="240" w:lineRule="auto"/>
                    <w:rPr>
                      <w:rFonts w:ascii="Times New Roman" w:eastAsia="Times New Roman" w:hAnsi="Times New Roman" w:cs="Times New Roman"/>
                      <w:sz w:val="24"/>
                      <w:szCs w:val="24"/>
                    </w:rPr>
                  </w:pPr>
                </w:p>
              </w:tc>
            </w:tr>
          </w:tbl>
          <w:p w14:paraId="7DE0A67F" w14:textId="77777777" w:rsidR="00D10444" w:rsidRPr="00D10444" w:rsidRDefault="00D10444" w:rsidP="00D10444">
            <w:pPr>
              <w:spacing w:after="0" w:line="240" w:lineRule="auto"/>
              <w:rPr>
                <w:rFonts w:ascii="Arial" w:eastAsia="Times New Roman" w:hAnsi="Arial" w:cs="Arial"/>
                <w:color w:val="000000"/>
                <w:sz w:val="20"/>
                <w:szCs w:val="20"/>
              </w:rPr>
            </w:pPr>
          </w:p>
        </w:tc>
      </w:tr>
      <w:tr w:rsidR="00D10444" w:rsidRPr="00D10444" w14:paraId="25CCA24A" w14:textId="77777777" w:rsidTr="00D10444">
        <w:trPr>
          <w:tblCellSpacing w:w="0" w:type="dxa"/>
        </w:trPr>
        <w:tc>
          <w:tcPr>
            <w:tcW w:w="0" w:type="auto"/>
            <w:shd w:val="clear" w:color="auto" w:fill="FFFFFF"/>
            <w:tcMar>
              <w:top w:w="0" w:type="dxa"/>
              <w:left w:w="45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25"/>
              <w:gridCol w:w="5025"/>
            </w:tblGrid>
            <w:tr w:rsidR="00D10444" w:rsidRPr="00D10444" w14:paraId="0751C885" w14:textId="77777777" w:rsidTr="00D10444">
              <w:trPr>
                <w:tblCellSpacing w:w="0" w:type="dxa"/>
              </w:trPr>
              <w:tc>
                <w:tcPr>
                  <w:tcW w:w="2500" w:type="pct"/>
                  <w:tcMar>
                    <w:top w:w="150" w:type="dxa"/>
                    <w:left w:w="0" w:type="dxa"/>
                    <w:bottom w:w="75" w:type="dxa"/>
                    <w:right w:w="0" w:type="dxa"/>
                  </w:tcMar>
                  <w:vAlign w:val="center"/>
                </w:tcPr>
                <w:p w14:paraId="3E7E9491" w14:textId="2E425AA1" w:rsidR="00D10444" w:rsidRPr="00D10444" w:rsidRDefault="00D10444" w:rsidP="00D10444">
                  <w:pPr>
                    <w:spacing w:after="0" w:line="240" w:lineRule="auto"/>
                    <w:rPr>
                      <w:rFonts w:ascii="Times New Roman" w:eastAsia="Times New Roman" w:hAnsi="Times New Roman" w:cs="Times New Roman"/>
                      <w:sz w:val="24"/>
                      <w:szCs w:val="24"/>
                    </w:rPr>
                  </w:pPr>
                </w:p>
              </w:tc>
              <w:tc>
                <w:tcPr>
                  <w:tcW w:w="2500" w:type="pct"/>
                  <w:tcMar>
                    <w:top w:w="150" w:type="dxa"/>
                    <w:left w:w="0" w:type="dxa"/>
                    <w:bottom w:w="75" w:type="dxa"/>
                    <w:right w:w="0" w:type="dxa"/>
                  </w:tcMar>
                  <w:vAlign w:val="center"/>
                  <w:hideMark/>
                </w:tcPr>
                <w:p w14:paraId="19164B41" w14:textId="55D02C5A" w:rsidR="00D10444" w:rsidRPr="00D10444" w:rsidRDefault="00D10444" w:rsidP="00D10444">
                  <w:pPr>
                    <w:spacing w:after="0" w:line="240" w:lineRule="auto"/>
                    <w:jc w:val="right"/>
                    <w:rPr>
                      <w:rFonts w:ascii="Times New Roman" w:eastAsia="Times New Roman" w:hAnsi="Times New Roman" w:cs="Times New Roman"/>
                      <w:sz w:val="24"/>
                      <w:szCs w:val="24"/>
                    </w:rPr>
                  </w:pPr>
                </w:p>
              </w:tc>
            </w:tr>
          </w:tbl>
          <w:p w14:paraId="678649DD" w14:textId="77777777" w:rsidR="00D10444" w:rsidRPr="00D10444" w:rsidRDefault="00D10444" w:rsidP="00D10444">
            <w:pPr>
              <w:spacing w:after="0" w:line="240" w:lineRule="auto"/>
              <w:rPr>
                <w:rFonts w:ascii="Arial" w:eastAsia="Times New Roman" w:hAnsi="Arial" w:cs="Arial"/>
                <w:color w:val="000000"/>
                <w:sz w:val="20"/>
                <w:szCs w:val="20"/>
              </w:rPr>
            </w:pPr>
          </w:p>
        </w:tc>
      </w:tr>
      <w:tr w:rsidR="00D10444" w:rsidRPr="00D10444" w14:paraId="15CDD71D" w14:textId="77777777" w:rsidTr="00D10444">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6" w:space="0" w:color="999999"/>
              </w:tblBorders>
              <w:shd w:val="clear" w:color="auto" w:fill="FFFFFF"/>
              <w:tblCellMar>
                <w:top w:w="75" w:type="dxa"/>
                <w:left w:w="0" w:type="dxa"/>
                <w:right w:w="0" w:type="dxa"/>
              </w:tblCellMar>
              <w:tblLook w:val="04A0" w:firstRow="1" w:lastRow="0" w:firstColumn="1" w:lastColumn="0" w:noHBand="0" w:noVBand="1"/>
            </w:tblPr>
            <w:tblGrid>
              <w:gridCol w:w="10050"/>
            </w:tblGrid>
            <w:tr w:rsidR="00D10444" w:rsidRPr="00D10444" w14:paraId="51589138" w14:textId="77777777">
              <w:trPr>
                <w:tblCellSpacing w:w="0" w:type="dxa"/>
              </w:trPr>
              <w:tc>
                <w:tcPr>
                  <w:tcW w:w="0" w:type="auto"/>
                  <w:shd w:val="clear" w:color="auto" w:fill="FFFFFF"/>
                  <w:vAlign w:val="center"/>
                  <w:hideMark/>
                </w:tcPr>
                <w:p w14:paraId="367AC627"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IMPORTANT DISCLOSURES</w:t>
                  </w:r>
                </w:p>
                <w:p w14:paraId="1F1094C5"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Note: Advisory services offered through Carolina Wealth Advisors (CWA) and The Strategic Financial Alliance, Inc. (SFA), registered investment advisers. Securities offered through The Strategic Financial Alliance, Inc. (SFA), member FINRA/SIPC. Christopher St. John, M. Radcliff Lowery, Christy Horlacher, and Trevor Bigham are registered representatives and investment adviser representatives of SFA, which is otherwise unaffiliated with CWA. CWA and SFA do not provide any tax or legal advice. SFA corporate offices 678-954-4000.</w:t>
                  </w:r>
                </w:p>
                <w:p w14:paraId="5A2811CC"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Insurance Products guarantees are subject to the financial strength and claims-paying ability of the issuing company, and may be subject to restrictions, limitations or early withdrawal fees. Annuities are not FDIC insured.</w:t>
                  </w:r>
                </w:p>
                <w:p w14:paraId="4E3F9CD8"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Broadridge Investor Communication Solutions, Inc. does not provide investment, tax, or legal advice. The information presented here is not specific to any individual's personal circumstances.</w:t>
                  </w:r>
                </w:p>
                <w:p w14:paraId="7970ED39"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To the extent that this material concerns tax matters, it is not intended or written to be used, and cannot be used, by a taxpayer for the purpose of avoiding penalties that may be imposed by law. Each taxpayer should seek independent advice from a tax professional based on his or her individual circumstances.</w:t>
                  </w:r>
                </w:p>
                <w:p w14:paraId="7C498CFA" w14:textId="77777777" w:rsid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t>These materials are provided for general information and educational purposes based upon publicly available information from sources believed to be reliable—we cannot assure the accuracy or completeness of these materials. The information in these materials may change at any time and without notice.</w:t>
                  </w:r>
                </w:p>
                <w:p w14:paraId="65C22BA1" w14:textId="77777777" w:rsid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p>
                <w:p w14:paraId="4D29AB66" w14:textId="77777777" w:rsidR="00D10444" w:rsidRDefault="00D10444" w:rsidP="00D10444">
                  <w:pPr>
                    <w:spacing w:before="100" w:beforeAutospacing="1" w:after="100" w:afterAutospacing="1" w:line="240" w:lineRule="auto"/>
                    <w:rPr>
                      <w:rFonts w:ascii="Times New Roman" w:eastAsia="Times New Roman" w:hAnsi="Times New Roman" w:cs="Times New Roman"/>
                      <w:sz w:val="24"/>
                      <w:szCs w:val="24"/>
                    </w:rPr>
                  </w:pPr>
                </w:p>
                <w:p w14:paraId="2CB25AF7" w14:textId="77777777" w:rsidR="00D10444" w:rsidRPr="00D10444" w:rsidRDefault="00D10444" w:rsidP="00D10444">
                  <w:pPr>
                    <w:spacing w:after="0" w:line="240" w:lineRule="auto"/>
                    <w:rPr>
                      <w:rFonts w:ascii="Times New Roman" w:eastAsia="Times New Roman" w:hAnsi="Times New Roman" w:cs="Times New Roman"/>
                      <w:sz w:val="24"/>
                      <w:szCs w:val="24"/>
                    </w:rPr>
                  </w:pPr>
                  <w:r w:rsidRPr="00D10444">
                    <w:rPr>
                      <w:rFonts w:ascii="Times New Roman" w:eastAsia="Times New Roman" w:hAnsi="Times New Roman" w:cs="Times New Roman"/>
                      <w:sz w:val="24"/>
                      <w:szCs w:val="24"/>
                    </w:rPr>
                    <w:lastRenderedPageBreak/>
                    <w:br/>
                  </w:r>
                  <w:r w:rsidRPr="00D10444">
                    <w:rPr>
                      <w:rFonts w:ascii="Times New Roman" w:eastAsia="Times New Roman" w:hAnsi="Times New Roman" w:cs="Times New Roman"/>
                      <w:sz w:val="24"/>
                      <w:szCs w:val="24"/>
                    </w:rPr>
                    <w:br/>
                    <w:t>This communication is strictly intended for individuals residing in the state(s) of AZ, CA, CT, FL, GA, IL, IN, KY, MD, MA, MT, NJ, NM, NY, NC, OK, PA, SC, TX, VA, WA and WV. No offers may be made or accepted from any resident outside the specific states referenced.</w:t>
                  </w:r>
                </w:p>
              </w:tc>
            </w:tr>
            <w:tr w:rsidR="00D10444" w:rsidRPr="00D10444" w14:paraId="12F6FDEA" w14:textId="77777777">
              <w:trPr>
                <w:tblCellSpacing w:w="0" w:type="dxa"/>
              </w:trPr>
              <w:tc>
                <w:tcPr>
                  <w:tcW w:w="0" w:type="auto"/>
                  <w:shd w:val="clear" w:color="auto" w:fill="FFFFFF"/>
                  <w:vAlign w:val="center"/>
                  <w:hideMark/>
                </w:tcPr>
                <w:p w14:paraId="4DC7E2DD" w14:textId="77777777" w:rsidR="00D10444" w:rsidRPr="00D10444" w:rsidRDefault="00D10444" w:rsidP="00D10444">
                  <w:pPr>
                    <w:spacing w:before="100" w:beforeAutospacing="1" w:after="100" w:afterAutospacing="1" w:line="240" w:lineRule="auto"/>
                    <w:rPr>
                      <w:rFonts w:ascii="Times New Roman" w:eastAsia="Times New Roman" w:hAnsi="Times New Roman" w:cs="Times New Roman"/>
                      <w:b/>
                      <w:bCs/>
                      <w:sz w:val="16"/>
                      <w:szCs w:val="16"/>
                    </w:rPr>
                  </w:pPr>
                  <w:r w:rsidRPr="00D10444">
                    <w:rPr>
                      <w:rFonts w:ascii="Times New Roman" w:eastAsia="Times New Roman" w:hAnsi="Times New Roman" w:cs="Times New Roman"/>
                      <w:b/>
                      <w:bCs/>
                      <w:sz w:val="16"/>
                      <w:szCs w:val="16"/>
                    </w:rPr>
                    <w:lastRenderedPageBreak/>
                    <w:t>Prepared by Broadridge Advisor Solutions Copyright 2025.</w:t>
                  </w:r>
                </w:p>
                <w:p w14:paraId="08572A1B" w14:textId="27D948F2" w:rsidR="00D10444" w:rsidRPr="00D10444" w:rsidRDefault="00D10444" w:rsidP="00D10444">
                  <w:pPr>
                    <w:spacing w:before="100" w:beforeAutospacing="1" w:after="100" w:afterAutospacing="1" w:line="240" w:lineRule="auto"/>
                    <w:rPr>
                      <w:rFonts w:ascii="Times New Roman" w:eastAsia="Times New Roman" w:hAnsi="Times New Roman" w:cs="Times New Roman"/>
                      <w:sz w:val="16"/>
                      <w:szCs w:val="16"/>
                    </w:rPr>
                  </w:pPr>
                </w:p>
              </w:tc>
            </w:tr>
          </w:tbl>
          <w:p w14:paraId="2877C503" w14:textId="77777777" w:rsidR="00D10444" w:rsidRPr="00D10444" w:rsidRDefault="00D10444" w:rsidP="00D10444">
            <w:pPr>
              <w:spacing w:after="0" w:line="240" w:lineRule="auto"/>
              <w:rPr>
                <w:rFonts w:ascii="Arial" w:eastAsia="Times New Roman" w:hAnsi="Arial" w:cs="Arial"/>
                <w:color w:val="000000"/>
                <w:sz w:val="20"/>
                <w:szCs w:val="20"/>
              </w:rPr>
            </w:pPr>
          </w:p>
        </w:tc>
      </w:tr>
    </w:tbl>
    <w:p w14:paraId="303AC8D8" w14:textId="77777777" w:rsidR="00B84669" w:rsidRPr="00B50950" w:rsidRDefault="00B84669" w:rsidP="00B50950"/>
    <w:sectPr w:rsidR="00B84669" w:rsidRPr="00B50950" w:rsidSect="00D34ADD">
      <w:headerReference w:type="default" r:id="rId8"/>
      <w:footerReference w:type="default" r:id="rId9"/>
      <w:pgSz w:w="12240" w:h="15840"/>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607B" w14:textId="77777777" w:rsidR="00D7201D" w:rsidRDefault="00D7201D" w:rsidP="00971BD1">
      <w:pPr>
        <w:spacing w:after="0" w:line="240" w:lineRule="auto"/>
      </w:pPr>
      <w:r>
        <w:separator/>
      </w:r>
    </w:p>
  </w:endnote>
  <w:endnote w:type="continuationSeparator" w:id="0">
    <w:p w14:paraId="02395DBF" w14:textId="77777777" w:rsidR="00D7201D" w:rsidRDefault="00D7201D" w:rsidP="0097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C0E4" w14:textId="77777777" w:rsidR="00971BD1" w:rsidRDefault="00C95E64">
    <w:pPr>
      <w:pStyle w:val="Footer"/>
    </w:pPr>
    <w:r>
      <w:rPr>
        <w:rFonts w:ascii="Arial" w:eastAsia="Times New Roman" w:hAnsi="Arial" w:cs="Arial"/>
        <w:noProof/>
        <w:color w:val="228E92"/>
        <w:sz w:val="20"/>
        <w:szCs w:val="20"/>
      </w:rPr>
      <mc:AlternateContent>
        <mc:Choice Requires="wps">
          <w:drawing>
            <wp:anchor distT="0" distB="0" distL="114300" distR="114300" simplePos="0" relativeHeight="251659264" behindDoc="0" locked="0" layoutInCell="1" allowOverlap="1" wp14:anchorId="1D6E1087" wp14:editId="62DAB390">
              <wp:simplePos x="0" y="0"/>
              <wp:positionH relativeFrom="page">
                <wp:align>left</wp:align>
              </wp:positionH>
              <wp:positionV relativeFrom="paragraph">
                <wp:posOffset>50799</wp:posOffset>
              </wp:positionV>
              <wp:extent cx="7772400" cy="904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04875"/>
                      </a:xfrm>
                      <a:prstGeom prst="rect">
                        <a:avLst/>
                      </a:prstGeom>
                      <a:solidFill>
                        <a:srgbClr val="0E3B34"/>
                      </a:solidFill>
                      <a:ln w="9525">
                        <a:solidFill>
                          <a:srgbClr val="000000"/>
                        </a:solidFill>
                        <a:miter lim="800000"/>
                        <a:headEnd/>
                        <a:tailEnd/>
                      </a:ln>
                    </wps:spPr>
                    <wps:txb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1087" id="Rectangle 2" o:spid="_x0000_s1026" style="position:absolute;margin-left:0;margin-top:4pt;width:612pt;height:71.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" fillcolor="#0e3b34">
              <v:textbo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72F3" w14:textId="77777777" w:rsidR="00D7201D" w:rsidRDefault="00D7201D" w:rsidP="00971BD1">
      <w:pPr>
        <w:spacing w:after="0" w:line="240" w:lineRule="auto"/>
      </w:pPr>
      <w:r>
        <w:separator/>
      </w:r>
    </w:p>
  </w:footnote>
  <w:footnote w:type="continuationSeparator" w:id="0">
    <w:p w14:paraId="616919A7" w14:textId="77777777" w:rsidR="00D7201D" w:rsidRDefault="00D7201D" w:rsidP="0097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E7CC" w14:textId="77777777" w:rsidR="00971BD1" w:rsidRDefault="00C95E64" w:rsidP="007D18F7">
    <w:pPr>
      <w:pStyle w:val="Header"/>
      <w:jc w:val="center"/>
    </w:pPr>
    <w:r>
      <w:rPr>
        <w:noProof/>
      </w:rPr>
      <mc:AlternateContent>
        <mc:Choice Requires="wps">
          <w:drawing>
            <wp:anchor distT="0" distB="0" distL="114300" distR="114300" simplePos="0" relativeHeight="251658240" behindDoc="0" locked="0" layoutInCell="1" allowOverlap="1" wp14:anchorId="566A1A41" wp14:editId="3F7E05A2">
              <wp:simplePos x="0" y="0"/>
              <wp:positionH relativeFrom="column">
                <wp:posOffset>-447675</wp:posOffset>
              </wp:positionH>
              <wp:positionV relativeFrom="paragraph">
                <wp:posOffset>-457200</wp:posOffset>
              </wp:positionV>
              <wp:extent cx="7753350" cy="409575"/>
              <wp:effectExtent l="0" t="0" r="0"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409575"/>
                      </a:xfrm>
                      <a:prstGeom prst="rect">
                        <a:avLst/>
                      </a:prstGeom>
                      <a:solidFill>
                        <a:srgbClr val="0E3B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34CFF" id="Rectangle 1" o:spid="_x0000_s1026" style="position:absolute;margin-left:-35.25pt;margin-top:-36pt;width:61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" fillcolor="#0e3b34"/>
          </w:pict>
        </mc:Fallback>
      </mc:AlternateContent>
    </w:r>
    <w:r w:rsidR="00971BD1">
      <w:rPr>
        <w:noProof/>
      </w:rPr>
      <w:drawing>
        <wp:inline distT="0" distB="0" distL="0" distR="0" wp14:anchorId="60AADF68" wp14:editId="16498488">
          <wp:extent cx="1657350" cy="1290366"/>
          <wp:effectExtent l="0" t="0" r="0" b="5080"/>
          <wp:docPr id="1" name="Picture 1" descr="M:\Files - Marketing\Logos\Ranking Company\logo-carolina-wealth_green_without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iles - Marketing\Logos\Ranking Company\logo-carolina-wealth_green_without_circle.jpg"/>
                  <pic:cNvPicPr>
                    <a:picLocks noChangeAspect="1" noChangeArrowheads="1"/>
                  </pic:cNvPicPr>
                </pic:nvPicPr>
                <pic:blipFill>
                  <a:blip r:embed="rId1" cstate="print"/>
                  <a:srcRect/>
                  <a:stretch>
                    <a:fillRect/>
                  </a:stretch>
                </pic:blipFill>
                <pic:spPr bwMode="auto">
                  <a:xfrm>
                    <a:off x="0" y="0"/>
                    <a:ext cx="1672108" cy="1301856"/>
                  </a:xfrm>
                  <a:prstGeom prst="rect">
                    <a:avLst/>
                  </a:prstGeom>
                  <a:noFill/>
                  <a:ln w="9525">
                    <a:noFill/>
                    <a:miter lim="800000"/>
                    <a:headEnd/>
                    <a:tailEnd/>
                  </a:ln>
                </pic:spPr>
              </pic:pic>
            </a:graphicData>
          </a:graphic>
        </wp:inline>
      </w:drawing>
    </w:r>
  </w:p>
  <w:p w14:paraId="41A53F7F" w14:textId="77777777" w:rsidR="007D18F7" w:rsidRPr="006B472E" w:rsidRDefault="007D18F7" w:rsidP="007D18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2C81"/>
    <w:multiLevelType w:val="multilevel"/>
    <w:tmpl w:val="143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A4CCC"/>
    <w:multiLevelType w:val="multilevel"/>
    <w:tmpl w:val="07F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A396F"/>
    <w:multiLevelType w:val="multilevel"/>
    <w:tmpl w:val="331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F41801"/>
    <w:multiLevelType w:val="multilevel"/>
    <w:tmpl w:val="01F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1E5F27"/>
    <w:multiLevelType w:val="multilevel"/>
    <w:tmpl w:val="71F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3016B5"/>
    <w:multiLevelType w:val="multilevel"/>
    <w:tmpl w:val="BD82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CE497B"/>
    <w:multiLevelType w:val="multilevel"/>
    <w:tmpl w:val="8872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774DCA"/>
    <w:multiLevelType w:val="multilevel"/>
    <w:tmpl w:val="214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AD30FE"/>
    <w:multiLevelType w:val="multilevel"/>
    <w:tmpl w:val="9F0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6C4E8B"/>
    <w:multiLevelType w:val="multilevel"/>
    <w:tmpl w:val="E4E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F0127D"/>
    <w:multiLevelType w:val="multilevel"/>
    <w:tmpl w:val="FFA4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5A2C48"/>
    <w:multiLevelType w:val="multilevel"/>
    <w:tmpl w:val="0A1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7D6268"/>
    <w:multiLevelType w:val="multilevel"/>
    <w:tmpl w:val="D6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961E7D"/>
    <w:multiLevelType w:val="multilevel"/>
    <w:tmpl w:val="99D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35655B"/>
    <w:multiLevelType w:val="multilevel"/>
    <w:tmpl w:val="5EA8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982DB7"/>
    <w:multiLevelType w:val="multilevel"/>
    <w:tmpl w:val="0848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CA7531"/>
    <w:multiLevelType w:val="multilevel"/>
    <w:tmpl w:val="51AC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2C1D0D"/>
    <w:multiLevelType w:val="multilevel"/>
    <w:tmpl w:val="73A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0E47DB"/>
    <w:multiLevelType w:val="multilevel"/>
    <w:tmpl w:val="C6F6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843D56"/>
    <w:multiLevelType w:val="multilevel"/>
    <w:tmpl w:val="90B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436C92"/>
    <w:multiLevelType w:val="multilevel"/>
    <w:tmpl w:val="CF8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EF28C8"/>
    <w:multiLevelType w:val="multilevel"/>
    <w:tmpl w:val="9BD2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730304"/>
    <w:multiLevelType w:val="multilevel"/>
    <w:tmpl w:val="C7AE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A2022E"/>
    <w:multiLevelType w:val="multilevel"/>
    <w:tmpl w:val="889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413CF1"/>
    <w:multiLevelType w:val="multilevel"/>
    <w:tmpl w:val="6E54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9A5985"/>
    <w:multiLevelType w:val="multilevel"/>
    <w:tmpl w:val="F84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A2226F"/>
    <w:multiLevelType w:val="multilevel"/>
    <w:tmpl w:val="711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3D556F"/>
    <w:multiLevelType w:val="multilevel"/>
    <w:tmpl w:val="7BE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621B5B"/>
    <w:multiLevelType w:val="multilevel"/>
    <w:tmpl w:val="659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B60750"/>
    <w:multiLevelType w:val="multilevel"/>
    <w:tmpl w:val="85DC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446C05"/>
    <w:multiLevelType w:val="multilevel"/>
    <w:tmpl w:val="894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193424"/>
    <w:multiLevelType w:val="multilevel"/>
    <w:tmpl w:val="183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2B6EDA"/>
    <w:multiLevelType w:val="multilevel"/>
    <w:tmpl w:val="F72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6B828F7"/>
    <w:multiLevelType w:val="multilevel"/>
    <w:tmpl w:val="91BA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245AAE"/>
    <w:multiLevelType w:val="multilevel"/>
    <w:tmpl w:val="3B7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89714D"/>
    <w:multiLevelType w:val="multilevel"/>
    <w:tmpl w:val="CA7A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B57255"/>
    <w:multiLevelType w:val="multilevel"/>
    <w:tmpl w:val="E86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CC6EDF"/>
    <w:multiLevelType w:val="multilevel"/>
    <w:tmpl w:val="48D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8255320"/>
    <w:multiLevelType w:val="multilevel"/>
    <w:tmpl w:val="991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8382CDE"/>
    <w:multiLevelType w:val="multilevel"/>
    <w:tmpl w:val="1DE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8F6162E"/>
    <w:multiLevelType w:val="multilevel"/>
    <w:tmpl w:val="2E5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774F45"/>
    <w:multiLevelType w:val="multilevel"/>
    <w:tmpl w:val="C2D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1067E8"/>
    <w:multiLevelType w:val="multilevel"/>
    <w:tmpl w:val="12D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735CF6"/>
    <w:multiLevelType w:val="multilevel"/>
    <w:tmpl w:val="4540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E5E16F1"/>
    <w:multiLevelType w:val="multilevel"/>
    <w:tmpl w:val="BE1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E65F9A"/>
    <w:multiLevelType w:val="multilevel"/>
    <w:tmpl w:val="ABD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C9074D"/>
    <w:multiLevelType w:val="multilevel"/>
    <w:tmpl w:val="8380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7251F0"/>
    <w:multiLevelType w:val="multilevel"/>
    <w:tmpl w:val="65E8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61F0E1B"/>
    <w:multiLevelType w:val="multilevel"/>
    <w:tmpl w:val="B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6440788"/>
    <w:multiLevelType w:val="multilevel"/>
    <w:tmpl w:val="34B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701EA2"/>
    <w:multiLevelType w:val="multilevel"/>
    <w:tmpl w:val="B2B6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7F4CB6"/>
    <w:multiLevelType w:val="multilevel"/>
    <w:tmpl w:val="680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923B69"/>
    <w:multiLevelType w:val="multilevel"/>
    <w:tmpl w:val="FA90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AEA6281"/>
    <w:multiLevelType w:val="multilevel"/>
    <w:tmpl w:val="994A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29530B"/>
    <w:multiLevelType w:val="multilevel"/>
    <w:tmpl w:val="0E5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D86C18"/>
    <w:multiLevelType w:val="multilevel"/>
    <w:tmpl w:val="40D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FF05D8"/>
    <w:multiLevelType w:val="multilevel"/>
    <w:tmpl w:val="D07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3505EE"/>
    <w:multiLevelType w:val="multilevel"/>
    <w:tmpl w:val="43B6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3D4F9F"/>
    <w:multiLevelType w:val="multilevel"/>
    <w:tmpl w:val="B79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F6704FD"/>
    <w:multiLevelType w:val="multilevel"/>
    <w:tmpl w:val="033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FC64F55"/>
    <w:multiLevelType w:val="multilevel"/>
    <w:tmpl w:val="5BF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FF12F79"/>
    <w:multiLevelType w:val="multilevel"/>
    <w:tmpl w:val="FA06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03D363C"/>
    <w:multiLevelType w:val="multilevel"/>
    <w:tmpl w:val="C3E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0C44DEC"/>
    <w:multiLevelType w:val="multilevel"/>
    <w:tmpl w:val="225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0D47BF"/>
    <w:multiLevelType w:val="multilevel"/>
    <w:tmpl w:val="663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86065C"/>
    <w:multiLevelType w:val="multilevel"/>
    <w:tmpl w:val="5DA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BD4005"/>
    <w:multiLevelType w:val="multilevel"/>
    <w:tmpl w:val="91CC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4FB1BD9"/>
    <w:multiLevelType w:val="multilevel"/>
    <w:tmpl w:val="3810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52E4835"/>
    <w:multiLevelType w:val="multilevel"/>
    <w:tmpl w:val="C65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634790B"/>
    <w:multiLevelType w:val="multilevel"/>
    <w:tmpl w:val="CA7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9421B8B"/>
    <w:multiLevelType w:val="multilevel"/>
    <w:tmpl w:val="C97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DB2517"/>
    <w:multiLevelType w:val="multilevel"/>
    <w:tmpl w:val="2F4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310D2B"/>
    <w:multiLevelType w:val="multilevel"/>
    <w:tmpl w:val="9A5E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B682B33"/>
    <w:multiLevelType w:val="multilevel"/>
    <w:tmpl w:val="026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E53EAA"/>
    <w:multiLevelType w:val="multilevel"/>
    <w:tmpl w:val="715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00F2222"/>
    <w:multiLevelType w:val="multilevel"/>
    <w:tmpl w:val="593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0965FB9"/>
    <w:multiLevelType w:val="multilevel"/>
    <w:tmpl w:val="F00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17A7E21"/>
    <w:multiLevelType w:val="multilevel"/>
    <w:tmpl w:val="0DFC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1E74ABA"/>
    <w:multiLevelType w:val="multilevel"/>
    <w:tmpl w:val="1DF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20C6984"/>
    <w:multiLevelType w:val="multilevel"/>
    <w:tmpl w:val="4F4E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2281FC8"/>
    <w:multiLevelType w:val="multilevel"/>
    <w:tmpl w:val="0C8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AC49D0"/>
    <w:multiLevelType w:val="multilevel"/>
    <w:tmpl w:val="FF7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31A5E9F"/>
    <w:multiLevelType w:val="multilevel"/>
    <w:tmpl w:val="7C2E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381409A"/>
    <w:multiLevelType w:val="multilevel"/>
    <w:tmpl w:val="238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E8626C"/>
    <w:multiLevelType w:val="multilevel"/>
    <w:tmpl w:val="2822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D1583A"/>
    <w:multiLevelType w:val="multilevel"/>
    <w:tmpl w:val="028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D61570"/>
    <w:multiLevelType w:val="multilevel"/>
    <w:tmpl w:val="5F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91658C2"/>
    <w:multiLevelType w:val="multilevel"/>
    <w:tmpl w:val="897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A4E3163"/>
    <w:multiLevelType w:val="multilevel"/>
    <w:tmpl w:val="B434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AEC6619"/>
    <w:multiLevelType w:val="multilevel"/>
    <w:tmpl w:val="0EA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B3B24C3"/>
    <w:multiLevelType w:val="multilevel"/>
    <w:tmpl w:val="1FD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C014DAC"/>
    <w:multiLevelType w:val="multilevel"/>
    <w:tmpl w:val="F3A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C707CAE"/>
    <w:multiLevelType w:val="multilevel"/>
    <w:tmpl w:val="BF7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0DA5E53"/>
    <w:multiLevelType w:val="multilevel"/>
    <w:tmpl w:val="DAF8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2036649"/>
    <w:multiLevelType w:val="multilevel"/>
    <w:tmpl w:val="7F4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32259C1"/>
    <w:multiLevelType w:val="multilevel"/>
    <w:tmpl w:val="FB04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7F2076"/>
    <w:multiLevelType w:val="multilevel"/>
    <w:tmpl w:val="0E7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4E45C9A"/>
    <w:multiLevelType w:val="multilevel"/>
    <w:tmpl w:val="8F5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7E56DE"/>
    <w:multiLevelType w:val="multilevel"/>
    <w:tmpl w:val="96AC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5E42A2F"/>
    <w:multiLevelType w:val="multilevel"/>
    <w:tmpl w:val="FFD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7AA1FB9"/>
    <w:multiLevelType w:val="multilevel"/>
    <w:tmpl w:val="757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95742C"/>
    <w:multiLevelType w:val="multilevel"/>
    <w:tmpl w:val="309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9134694"/>
    <w:multiLevelType w:val="multilevel"/>
    <w:tmpl w:val="BD4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CE83D65"/>
    <w:multiLevelType w:val="multilevel"/>
    <w:tmpl w:val="36F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D7E3E22"/>
    <w:multiLevelType w:val="multilevel"/>
    <w:tmpl w:val="AC3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E353B90"/>
    <w:multiLevelType w:val="multilevel"/>
    <w:tmpl w:val="A888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E8522EA"/>
    <w:multiLevelType w:val="multilevel"/>
    <w:tmpl w:val="44E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EA337C1"/>
    <w:multiLevelType w:val="multilevel"/>
    <w:tmpl w:val="30E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FF54E01"/>
    <w:multiLevelType w:val="multilevel"/>
    <w:tmpl w:val="7364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0357BF1"/>
    <w:multiLevelType w:val="multilevel"/>
    <w:tmpl w:val="5B84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15D41A3"/>
    <w:multiLevelType w:val="multilevel"/>
    <w:tmpl w:val="B6A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2284050"/>
    <w:multiLevelType w:val="multilevel"/>
    <w:tmpl w:val="E3D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28D5A76"/>
    <w:multiLevelType w:val="multilevel"/>
    <w:tmpl w:val="3EA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3BA6937"/>
    <w:multiLevelType w:val="multilevel"/>
    <w:tmpl w:val="6D4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110897"/>
    <w:multiLevelType w:val="multilevel"/>
    <w:tmpl w:val="7278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45E125B"/>
    <w:multiLevelType w:val="multilevel"/>
    <w:tmpl w:val="A19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5616285"/>
    <w:multiLevelType w:val="multilevel"/>
    <w:tmpl w:val="9C2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8397689"/>
    <w:multiLevelType w:val="multilevel"/>
    <w:tmpl w:val="735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90E5E41"/>
    <w:multiLevelType w:val="multilevel"/>
    <w:tmpl w:val="550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9784B6E"/>
    <w:multiLevelType w:val="multilevel"/>
    <w:tmpl w:val="0CB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9E33DEE"/>
    <w:multiLevelType w:val="multilevel"/>
    <w:tmpl w:val="4E8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B3F7309"/>
    <w:multiLevelType w:val="multilevel"/>
    <w:tmpl w:val="D91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B8C0476"/>
    <w:multiLevelType w:val="multilevel"/>
    <w:tmpl w:val="9BE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801766">
    <w:abstractNumId w:val="3"/>
  </w:num>
  <w:num w:numId="2" w16cid:durableId="1726102294">
    <w:abstractNumId w:val="44"/>
  </w:num>
  <w:num w:numId="3" w16cid:durableId="1497644194">
    <w:abstractNumId w:val="69"/>
  </w:num>
  <w:num w:numId="4" w16cid:durableId="990252399">
    <w:abstractNumId w:val="117"/>
  </w:num>
  <w:num w:numId="5" w16cid:durableId="1078480747">
    <w:abstractNumId w:val="32"/>
  </w:num>
  <w:num w:numId="6" w16cid:durableId="94179071">
    <w:abstractNumId w:val="48"/>
  </w:num>
  <w:num w:numId="7" w16cid:durableId="989942262">
    <w:abstractNumId w:val="110"/>
  </w:num>
  <w:num w:numId="8" w16cid:durableId="600844932">
    <w:abstractNumId w:val="34"/>
  </w:num>
  <w:num w:numId="9" w16cid:durableId="837041546">
    <w:abstractNumId w:val="50"/>
  </w:num>
  <w:num w:numId="10" w16cid:durableId="1144472402">
    <w:abstractNumId w:val="30"/>
  </w:num>
  <w:num w:numId="11" w16cid:durableId="1131947744">
    <w:abstractNumId w:val="108"/>
  </w:num>
  <w:num w:numId="12" w16cid:durableId="615872286">
    <w:abstractNumId w:val="67"/>
  </w:num>
  <w:num w:numId="13" w16cid:durableId="1651212068">
    <w:abstractNumId w:val="58"/>
  </w:num>
  <w:num w:numId="14" w16cid:durableId="1187333545">
    <w:abstractNumId w:val="96"/>
  </w:num>
  <w:num w:numId="15" w16cid:durableId="1980377311">
    <w:abstractNumId w:val="65"/>
  </w:num>
  <w:num w:numId="16" w16cid:durableId="1539121619">
    <w:abstractNumId w:val="4"/>
  </w:num>
  <w:num w:numId="17" w16cid:durableId="1565069993">
    <w:abstractNumId w:val="1"/>
  </w:num>
  <w:num w:numId="18" w16cid:durableId="324672878">
    <w:abstractNumId w:val="20"/>
  </w:num>
  <w:num w:numId="19" w16cid:durableId="1659261707">
    <w:abstractNumId w:val="26"/>
  </w:num>
  <w:num w:numId="20" w16cid:durableId="159083819">
    <w:abstractNumId w:val="94"/>
  </w:num>
  <w:num w:numId="21" w16cid:durableId="1990593065">
    <w:abstractNumId w:val="79"/>
  </w:num>
  <w:num w:numId="22" w16cid:durableId="1135022772">
    <w:abstractNumId w:val="40"/>
  </w:num>
  <w:num w:numId="23" w16cid:durableId="470171533">
    <w:abstractNumId w:val="85"/>
  </w:num>
  <w:num w:numId="24" w16cid:durableId="737558611">
    <w:abstractNumId w:val="29"/>
  </w:num>
  <w:num w:numId="25" w16cid:durableId="2124763164">
    <w:abstractNumId w:val="11"/>
  </w:num>
  <w:num w:numId="26" w16cid:durableId="2117796420">
    <w:abstractNumId w:val="45"/>
  </w:num>
  <w:num w:numId="27" w16cid:durableId="1232816290">
    <w:abstractNumId w:val="47"/>
  </w:num>
  <w:num w:numId="28" w16cid:durableId="1660504214">
    <w:abstractNumId w:val="61"/>
  </w:num>
  <w:num w:numId="29" w16cid:durableId="895556142">
    <w:abstractNumId w:val="105"/>
  </w:num>
  <w:num w:numId="30" w16cid:durableId="1985616786">
    <w:abstractNumId w:val="9"/>
  </w:num>
  <w:num w:numId="31" w16cid:durableId="1251811499">
    <w:abstractNumId w:val="55"/>
  </w:num>
  <w:num w:numId="32" w16cid:durableId="1861431700">
    <w:abstractNumId w:val="73"/>
  </w:num>
  <w:num w:numId="33" w16cid:durableId="436022949">
    <w:abstractNumId w:val="37"/>
  </w:num>
  <w:num w:numId="34" w16cid:durableId="1099176973">
    <w:abstractNumId w:val="14"/>
  </w:num>
  <w:num w:numId="35" w16cid:durableId="243883107">
    <w:abstractNumId w:val="59"/>
  </w:num>
  <w:num w:numId="36" w16cid:durableId="158421754">
    <w:abstractNumId w:val="7"/>
  </w:num>
  <w:num w:numId="37" w16cid:durableId="2036223696">
    <w:abstractNumId w:val="27"/>
  </w:num>
  <w:num w:numId="38" w16cid:durableId="473455005">
    <w:abstractNumId w:val="15"/>
  </w:num>
  <w:num w:numId="39" w16cid:durableId="1391885280">
    <w:abstractNumId w:val="83"/>
  </w:num>
  <w:num w:numId="40" w16cid:durableId="2076125551">
    <w:abstractNumId w:val="51"/>
  </w:num>
  <w:num w:numId="41" w16cid:durableId="1253509558">
    <w:abstractNumId w:val="28"/>
  </w:num>
  <w:num w:numId="42" w16cid:durableId="774444807">
    <w:abstractNumId w:val="74"/>
  </w:num>
  <w:num w:numId="43" w16cid:durableId="176308635">
    <w:abstractNumId w:val="122"/>
  </w:num>
  <w:num w:numId="44" w16cid:durableId="462314108">
    <w:abstractNumId w:val="115"/>
  </w:num>
  <w:num w:numId="45" w16cid:durableId="1734767695">
    <w:abstractNumId w:val="99"/>
  </w:num>
  <w:num w:numId="46" w16cid:durableId="1056245253">
    <w:abstractNumId w:val="46"/>
  </w:num>
  <w:num w:numId="47" w16cid:durableId="1309163860">
    <w:abstractNumId w:val="60"/>
  </w:num>
  <w:num w:numId="48" w16cid:durableId="1503083436">
    <w:abstractNumId w:val="18"/>
  </w:num>
  <w:num w:numId="49" w16cid:durableId="261651119">
    <w:abstractNumId w:val="0"/>
  </w:num>
  <w:num w:numId="50" w16cid:durableId="623267301">
    <w:abstractNumId w:val="76"/>
  </w:num>
  <w:num w:numId="51" w16cid:durableId="1698658010">
    <w:abstractNumId w:val="12"/>
  </w:num>
  <w:num w:numId="52" w16cid:durableId="1118722977">
    <w:abstractNumId w:val="89"/>
  </w:num>
  <w:num w:numId="53" w16cid:durableId="1258827320">
    <w:abstractNumId w:val="119"/>
  </w:num>
  <w:num w:numId="54" w16cid:durableId="392433285">
    <w:abstractNumId w:val="71"/>
  </w:num>
  <w:num w:numId="55" w16cid:durableId="1336346661">
    <w:abstractNumId w:val="35"/>
  </w:num>
  <w:num w:numId="56" w16cid:durableId="1956326841">
    <w:abstractNumId w:val="68"/>
  </w:num>
  <w:num w:numId="57" w16cid:durableId="56899179">
    <w:abstractNumId w:val="64"/>
  </w:num>
  <w:num w:numId="58" w16cid:durableId="1088650270">
    <w:abstractNumId w:val="91"/>
  </w:num>
  <w:num w:numId="59" w16cid:durableId="722868017">
    <w:abstractNumId w:val="109"/>
  </w:num>
  <w:num w:numId="60" w16cid:durableId="425617597">
    <w:abstractNumId w:val="100"/>
  </w:num>
  <w:num w:numId="61" w16cid:durableId="1654599088">
    <w:abstractNumId w:val="97"/>
  </w:num>
  <w:num w:numId="62" w16cid:durableId="934243604">
    <w:abstractNumId w:val="92"/>
  </w:num>
  <w:num w:numId="63" w16cid:durableId="1020398284">
    <w:abstractNumId w:val="102"/>
  </w:num>
  <w:num w:numId="64" w16cid:durableId="1602835730">
    <w:abstractNumId w:val="107"/>
  </w:num>
  <w:num w:numId="65" w16cid:durableId="1700935976">
    <w:abstractNumId w:val="95"/>
  </w:num>
  <w:num w:numId="66" w16cid:durableId="1539122968">
    <w:abstractNumId w:val="104"/>
  </w:num>
  <w:num w:numId="67" w16cid:durableId="1572235156">
    <w:abstractNumId w:val="39"/>
  </w:num>
  <w:num w:numId="68" w16cid:durableId="292255852">
    <w:abstractNumId w:val="114"/>
  </w:num>
  <w:num w:numId="69" w16cid:durableId="1704552614">
    <w:abstractNumId w:val="38"/>
  </w:num>
  <w:num w:numId="70" w16cid:durableId="2056007865">
    <w:abstractNumId w:val="120"/>
  </w:num>
  <w:num w:numId="71" w16cid:durableId="229850490">
    <w:abstractNumId w:val="87"/>
  </w:num>
  <w:num w:numId="72" w16cid:durableId="400300119">
    <w:abstractNumId w:val="31"/>
  </w:num>
  <w:num w:numId="73" w16cid:durableId="1734547972">
    <w:abstractNumId w:val="98"/>
  </w:num>
  <w:num w:numId="74" w16cid:durableId="325715961">
    <w:abstractNumId w:val="66"/>
  </w:num>
  <w:num w:numId="75" w16cid:durableId="161509646">
    <w:abstractNumId w:val="49"/>
  </w:num>
  <w:num w:numId="76" w16cid:durableId="1428694650">
    <w:abstractNumId w:val="8"/>
  </w:num>
  <w:num w:numId="77" w16cid:durableId="1530339367">
    <w:abstractNumId w:val="62"/>
  </w:num>
  <w:num w:numId="78" w16cid:durableId="1317763607">
    <w:abstractNumId w:val="54"/>
  </w:num>
  <w:num w:numId="79" w16cid:durableId="733743859">
    <w:abstractNumId w:val="19"/>
  </w:num>
  <w:num w:numId="80" w16cid:durableId="1486242956">
    <w:abstractNumId w:val="72"/>
  </w:num>
  <w:num w:numId="81" w16cid:durableId="829904382">
    <w:abstractNumId w:val="6"/>
  </w:num>
  <w:num w:numId="82" w16cid:durableId="1736733145">
    <w:abstractNumId w:val="77"/>
  </w:num>
  <w:num w:numId="83" w16cid:durableId="696001632">
    <w:abstractNumId w:val="106"/>
  </w:num>
  <w:num w:numId="84" w16cid:durableId="520977883">
    <w:abstractNumId w:val="63"/>
  </w:num>
  <w:num w:numId="85" w16cid:durableId="1270552412">
    <w:abstractNumId w:val="16"/>
  </w:num>
  <w:num w:numId="86" w16cid:durableId="1453938110">
    <w:abstractNumId w:val="81"/>
  </w:num>
  <w:num w:numId="87" w16cid:durableId="1664430618">
    <w:abstractNumId w:val="24"/>
  </w:num>
  <w:num w:numId="88" w16cid:durableId="408890232">
    <w:abstractNumId w:val="53"/>
  </w:num>
  <w:num w:numId="89" w16cid:durableId="1284919216">
    <w:abstractNumId w:val="80"/>
  </w:num>
  <w:num w:numId="90" w16cid:durableId="7874467">
    <w:abstractNumId w:val="82"/>
  </w:num>
  <w:num w:numId="91" w16cid:durableId="353727158">
    <w:abstractNumId w:val="52"/>
  </w:num>
  <w:num w:numId="92" w16cid:durableId="1095830623">
    <w:abstractNumId w:val="5"/>
  </w:num>
  <w:num w:numId="93" w16cid:durableId="1750230816">
    <w:abstractNumId w:val="90"/>
  </w:num>
  <w:num w:numId="94" w16cid:durableId="906956609">
    <w:abstractNumId w:val="75"/>
  </w:num>
  <w:num w:numId="95" w16cid:durableId="1076434678">
    <w:abstractNumId w:val="111"/>
  </w:num>
  <w:num w:numId="96" w16cid:durableId="548541271">
    <w:abstractNumId w:val="22"/>
  </w:num>
  <w:num w:numId="97" w16cid:durableId="1114982467">
    <w:abstractNumId w:val="43"/>
  </w:num>
  <w:num w:numId="98" w16cid:durableId="1176573010">
    <w:abstractNumId w:val="103"/>
  </w:num>
  <w:num w:numId="99" w16cid:durableId="2132237787">
    <w:abstractNumId w:val="57"/>
  </w:num>
  <w:num w:numId="100" w16cid:durableId="1576427250">
    <w:abstractNumId w:val="93"/>
  </w:num>
  <w:num w:numId="101" w16cid:durableId="103966480">
    <w:abstractNumId w:val="56"/>
  </w:num>
  <w:num w:numId="102" w16cid:durableId="2122022403">
    <w:abstractNumId w:val="33"/>
  </w:num>
  <w:num w:numId="103" w16cid:durableId="432240353">
    <w:abstractNumId w:val="13"/>
  </w:num>
  <w:num w:numId="104" w16cid:durableId="1597785456">
    <w:abstractNumId w:val="86"/>
  </w:num>
  <w:num w:numId="105" w16cid:durableId="1160273585">
    <w:abstractNumId w:val="17"/>
  </w:num>
  <w:num w:numId="106" w16cid:durableId="828445464">
    <w:abstractNumId w:val="101"/>
  </w:num>
  <w:num w:numId="107" w16cid:durableId="1702316637">
    <w:abstractNumId w:val="42"/>
  </w:num>
  <w:num w:numId="108" w16cid:durableId="2088765831">
    <w:abstractNumId w:val="118"/>
  </w:num>
  <w:num w:numId="109" w16cid:durableId="813182780">
    <w:abstractNumId w:val="36"/>
  </w:num>
  <w:num w:numId="110" w16cid:durableId="851339584">
    <w:abstractNumId w:val="78"/>
  </w:num>
  <w:num w:numId="111" w16cid:durableId="1237323513">
    <w:abstractNumId w:val="2"/>
  </w:num>
  <w:num w:numId="112" w16cid:durableId="1260719847">
    <w:abstractNumId w:val="23"/>
  </w:num>
  <w:num w:numId="113" w16cid:durableId="596868583">
    <w:abstractNumId w:val="112"/>
  </w:num>
  <w:num w:numId="114" w16cid:durableId="2087456362">
    <w:abstractNumId w:val="84"/>
  </w:num>
  <w:num w:numId="115" w16cid:durableId="249508285">
    <w:abstractNumId w:val="41"/>
  </w:num>
  <w:num w:numId="116" w16cid:durableId="1674264779">
    <w:abstractNumId w:val="121"/>
  </w:num>
  <w:num w:numId="117" w16cid:durableId="1610354388">
    <w:abstractNumId w:val="116"/>
  </w:num>
  <w:num w:numId="118" w16cid:durableId="1881554831">
    <w:abstractNumId w:val="25"/>
  </w:num>
  <w:num w:numId="119" w16cid:durableId="1852136082">
    <w:abstractNumId w:val="21"/>
  </w:num>
  <w:num w:numId="120" w16cid:durableId="1194079295">
    <w:abstractNumId w:val="88"/>
  </w:num>
  <w:num w:numId="121" w16cid:durableId="235625930">
    <w:abstractNumId w:val="10"/>
  </w:num>
  <w:num w:numId="122" w16cid:durableId="289435221">
    <w:abstractNumId w:val="70"/>
  </w:num>
  <w:num w:numId="123" w16cid:durableId="2014598855">
    <w:abstractNumId w:val="1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0e3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69"/>
    <w:rsid w:val="00120B31"/>
    <w:rsid w:val="00142D99"/>
    <w:rsid w:val="001647B2"/>
    <w:rsid w:val="00192273"/>
    <w:rsid w:val="001B153A"/>
    <w:rsid w:val="001B2BF5"/>
    <w:rsid w:val="001B44DB"/>
    <w:rsid w:val="002402D8"/>
    <w:rsid w:val="00250914"/>
    <w:rsid w:val="00267DDD"/>
    <w:rsid w:val="00275926"/>
    <w:rsid w:val="00296F0D"/>
    <w:rsid w:val="002A49E7"/>
    <w:rsid w:val="002B1D52"/>
    <w:rsid w:val="002E16AD"/>
    <w:rsid w:val="00313D5B"/>
    <w:rsid w:val="00335084"/>
    <w:rsid w:val="0033595A"/>
    <w:rsid w:val="00346C3A"/>
    <w:rsid w:val="00395DA5"/>
    <w:rsid w:val="003B03E9"/>
    <w:rsid w:val="003C6225"/>
    <w:rsid w:val="003D2E42"/>
    <w:rsid w:val="00412ACD"/>
    <w:rsid w:val="004439A2"/>
    <w:rsid w:val="004453BA"/>
    <w:rsid w:val="004D77BE"/>
    <w:rsid w:val="00500608"/>
    <w:rsid w:val="005100A9"/>
    <w:rsid w:val="00514715"/>
    <w:rsid w:val="005151EA"/>
    <w:rsid w:val="0054763D"/>
    <w:rsid w:val="00547A7D"/>
    <w:rsid w:val="005A3BA5"/>
    <w:rsid w:val="00636E0B"/>
    <w:rsid w:val="00683DB8"/>
    <w:rsid w:val="0068595F"/>
    <w:rsid w:val="006B41B2"/>
    <w:rsid w:val="006B472E"/>
    <w:rsid w:val="006C0C13"/>
    <w:rsid w:val="006E735F"/>
    <w:rsid w:val="00714C47"/>
    <w:rsid w:val="007459CF"/>
    <w:rsid w:val="007468E5"/>
    <w:rsid w:val="00770127"/>
    <w:rsid w:val="00797EAD"/>
    <w:rsid w:val="007A2564"/>
    <w:rsid w:val="007B6C6F"/>
    <w:rsid w:val="007D18F7"/>
    <w:rsid w:val="007D7D92"/>
    <w:rsid w:val="007D7F9E"/>
    <w:rsid w:val="007F46C9"/>
    <w:rsid w:val="0080238D"/>
    <w:rsid w:val="00824A4C"/>
    <w:rsid w:val="008575B0"/>
    <w:rsid w:val="00871405"/>
    <w:rsid w:val="00887F9A"/>
    <w:rsid w:val="0089306D"/>
    <w:rsid w:val="009279F5"/>
    <w:rsid w:val="0093324F"/>
    <w:rsid w:val="00935D86"/>
    <w:rsid w:val="00942491"/>
    <w:rsid w:val="00953166"/>
    <w:rsid w:val="00971BD1"/>
    <w:rsid w:val="009944FA"/>
    <w:rsid w:val="009A5535"/>
    <w:rsid w:val="009B1675"/>
    <w:rsid w:val="009C277E"/>
    <w:rsid w:val="009C5617"/>
    <w:rsid w:val="009C5BB9"/>
    <w:rsid w:val="009F6549"/>
    <w:rsid w:val="00A93CAC"/>
    <w:rsid w:val="00AC5F81"/>
    <w:rsid w:val="00AD0E56"/>
    <w:rsid w:val="00AD52AC"/>
    <w:rsid w:val="00B50950"/>
    <w:rsid w:val="00B51831"/>
    <w:rsid w:val="00B72465"/>
    <w:rsid w:val="00B7691B"/>
    <w:rsid w:val="00B84669"/>
    <w:rsid w:val="00BA3A80"/>
    <w:rsid w:val="00BF104B"/>
    <w:rsid w:val="00BF1B5D"/>
    <w:rsid w:val="00C27B0F"/>
    <w:rsid w:val="00C95E64"/>
    <w:rsid w:val="00CF1799"/>
    <w:rsid w:val="00D10444"/>
    <w:rsid w:val="00D1713B"/>
    <w:rsid w:val="00D24621"/>
    <w:rsid w:val="00D34ADD"/>
    <w:rsid w:val="00D676BF"/>
    <w:rsid w:val="00D7201D"/>
    <w:rsid w:val="00D737A2"/>
    <w:rsid w:val="00D74D32"/>
    <w:rsid w:val="00DC266B"/>
    <w:rsid w:val="00DE6682"/>
    <w:rsid w:val="00E301B3"/>
    <w:rsid w:val="00EB7555"/>
    <w:rsid w:val="00ED4AD5"/>
    <w:rsid w:val="00EE4327"/>
    <w:rsid w:val="00EF5201"/>
    <w:rsid w:val="00F10CF0"/>
    <w:rsid w:val="00F14A5A"/>
    <w:rsid w:val="00F220DD"/>
    <w:rsid w:val="00F32C89"/>
    <w:rsid w:val="00F356E6"/>
    <w:rsid w:val="00F76477"/>
    <w:rsid w:val="00F828DF"/>
    <w:rsid w:val="00F86E23"/>
    <w:rsid w:val="00FB7C5E"/>
    <w:rsid w:val="00FC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e3b34"/>
    </o:shapedefaults>
    <o:shapelayout v:ext="edit">
      <o:idmap v:ext="edit" data="2"/>
    </o:shapelayout>
  </w:shapeDefaults>
  <w:decimalSymbol w:val="."/>
  <w:listSeparator w:val=","/>
  <w14:docId w14:val="715299EF"/>
  <w15:docId w15:val="{5E6A2FE3-40C7-48CB-8DEF-430E2194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C9"/>
  </w:style>
  <w:style w:type="paragraph" w:styleId="Heading2">
    <w:name w:val="heading 2"/>
    <w:basedOn w:val="Normal"/>
    <w:link w:val="Heading2Char"/>
    <w:uiPriority w:val="9"/>
    <w:qFormat/>
    <w:rsid w:val="00714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69"/>
    <w:rPr>
      <w:rFonts w:ascii="Tahoma" w:hAnsi="Tahoma" w:cs="Tahoma"/>
      <w:sz w:val="16"/>
      <w:szCs w:val="16"/>
    </w:rPr>
  </w:style>
  <w:style w:type="character" w:styleId="Hyperlink">
    <w:name w:val="Hyperlink"/>
    <w:basedOn w:val="DefaultParagraphFont"/>
    <w:uiPriority w:val="99"/>
    <w:semiHidden/>
    <w:unhideWhenUsed/>
    <w:rsid w:val="00B84669"/>
    <w:rPr>
      <w:color w:val="0000FF"/>
      <w:u w:val="single"/>
    </w:rPr>
  </w:style>
  <w:style w:type="paragraph" w:styleId="NoSpacing">
    <w:name w:val="No Spacing"/>
    <w:uiPriority w:val="1"/>
    <w:qFormat/>
    <w:rsid w:val="00B84669"/>
    <w:pPr>
      <w:spacing w:after="0" w:line="240" w:lineRule="auto"/>
    </w:pPr>
  </w:style>
  <w:style w:type="paragraph" w:styleId="NormalWeb">
    <w:name w:val="Normal (Web)"/>
    <w:basedOn w:val="Normal"/>
    <w:uiPriority w:val="99"/>
    <w:unhideWhenUsed/>
    <w:rsid w:val="00B846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669"/>
    <w:rPr>
      <w:b/>
      <w:bCs/>
    </w:rPr>
  </w:style>
  <w:style w:type="character" w:customStyle="1" w:styleId="apple-converted-space">
    <w:name w:val="apple-converted-space"/>
    <w:basedOn w:val="DefaultParagraphFont"/>
    <w:rsid w:val="00B84669"/>
  </w:style>
  <w:style w:type="character" w:customStyle="1" w:styleId="Heading2Char">
    <w:name w:val="Heading 2 Char"/>
    <w:basedOn w:val="DefaultParagraphFont"/>
    <w:link w:val="Heading2"/>
    <w:uiPriority w:val="9"/>
    <w:rsid w:val="00714C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C4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7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D1"/>
  </w:style>
  <w:style w:type="paragraph" w:styleId="Footer">
    <w:name w:val="footer"/>
    <w:basedOn w:val="Normal"/>
    <w:link w:val="FooterChar"/>
    <w:uiPriority w:val="99"/>
    <w:unhideWhenUsed/>
    <w:rsid w:val="0097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295">
      <w:bodyDiv w:val="1"/>
      <w:marLeft w:val="0"/>
      <w:marRight w:val="0"/>
      <w:marTop w:val="0"/>
      <w:marBottom w:val="0"/>
      <w:divBdr>
        <w:top w:val="none" w:sz="0" w:space="0" w:color="auto"/>
        <w:left w:val="none" w:sz="0" w:space="0" w:color="auto"/>
        <w:bottom w:val="none" w:sz="0" w:space="0" w:color="auto"/>
        <w:right w:val="none" w:sz="0" w:space="0" w:color="auto"/>
      </w:divBdr>
    </w:div>
    <w:div w:id="113792904">
      <w:bodyDiv w:val="1"/>
      <w:marLeft w:val="0"/>
      <w:marRight w:val="0"/>
      <w:marTop w:val="0"/>
      <w:marBottom w:val="0"/>
      <w:divBdr>
        <w:top w:val="none" w:sz="0" w:space="0" w:color="auto"/>
        <w:left w:val="none" w:sz="0" w:space="0" w:color="auto"/>
        <w:bottom w:val="none" w:sz="0" w:space="0" w:color="auto"/>
        <w:right w:val="none" w:sz="0" w:space="0" w:color="auto"/>
      </w:divBdr>
    </w:div>
    <w:div w:id="124273911">
      <w:bodyDiv w:val="1"/>
      <w:marLeft w:val="0"/>
      <w:marRight w:val="0"/>
      <w:marTop w:val="0"/>
      <w:marBottom w:val="0"/>
      <w:divBdr>
        <w:top w:val="none" w:sz="0" w:space="0" w:color="auto"/>
        <w:left w:val="none" w:sz="0" w:space="0" w:color="auto"/>
        <w:bottom w:val="none" w:sz="0" w:space="0" w:color="auto"/>
        <w:right w:val="none" w:sz="0" w:space="0" w:color="auto"/>
      </w:divBdr>
      <w:divsChild>
        <w:div w:id="2124572802">
          <w:marLeft w:val="0"/>
          <w:marRight w:val="0"/>
          <w:marTop w:val="0"/>
          <w:marBottom w:val="0"/>
          <w:divBdr>
            <w:top w:val="none" w:sz="0" w:space="0" w:color="auto"/>
            <w:left w:val="none" w:sz="0" w:space="0" w:color="auto"/>
            <w:bottom w:val="none" w:sz="0" w:space="0" w:color="auto"/>
            <w:right w:val="none" w:sz="0" w:space="0" w:color="auto"/>
          </w:divBdr>
        </w:div>
      </w:divsChild>
    </w:div>
    <w:div w:id="155807648">
      <w:bodyDiv w:val="1"/>
      <w:marLeft w:val="0"/>
      <w:marRight w:val="0"/>
      <w:marTop w:val="0"/>
      <w:marBottom w:val="0"/>
      <w:divBdr>
        <w:top w:val="none" w:sz="0" w:space="0" w:color="auto"/>
        <w:left w:val="none" w:sz="0" w:space="0" w:color="auto"/>
        <w:bottom w:val="none" w:sz="0" w:space="0" w:color="auto"/>
        <w:right w:val="none" w:sz="0" w:space="0" w:color="auto"/>
      </w:divBdr>
    </w:div>
    <w:div w:id="236214079">
      <w:bodyDiv w:val="1"/>
      <w:marLeft w:val="0"/>
      <w:marRight w:val="0"/>
      <w:marTop w:val="0"/>
      <w:marBottom w:val="0"/>
      <w:divBdr>
        <w:top w:val="none" w:sz="0" w:space="0" w:color="auto"/>
        <w:left w:val="none" w:sz="0" w:space="0" w:color="auto"/>
        <w:bottom w:val="none" w:sz="0" w:space="0" w:color="auto"/>
        <w:right w:val="none" w:sz="0" w:space="0" w:color="auto"/>
      </w:divBdr>
    </w:div>
    <w:div w:id="257564587">
      <w:bodyDiv w:val="1"/>
      <w:marLeft w:val="0"/>
      <w:marRight w:val="0"/>
      <w:marTop w:val="0"/>
      <w:marBottom w:val="0"/>
      <w:divBdr>
        <w:top w:val="none" w:sz="0" w:space="0" w:color="auto"/>
        <w:left w:val="none" w:sz="0" w:space="0" w:color="auto"/>
        <w:bottom w:val="none" w:sz="0" w:space="0" w:color="auto"/>
        <w:right w:val="none" w:sz="0" w:space="0" w:color="auto"/>
      </w:divBdr>
    </w:div>
    <w:div w:id="299118726">
      <w:bodyDiv w:val="1"/>
      <w:marLeft w:val="0"/>
      <w:marRight w:val="0"/>
      <w:marTop w:val="0"/>
      <w:marBottom w:val="0"/>
      <w:divBdr>
        <w:top w:val="none" w:sz="0" w:space="0" w:color="auto"/>
        <w:left w:val="none" w:sz="0" w:space="0" w:color="auto"/>
        <w:bottom w:val="none" w:sz="0" w:space="0" w:color="auto"/>
        <w:right w:val="none" w:sz="0" w:space="0" w:color="auto"/>
      </w:divBdr>
    </w:div>
    <w:div w:id="378238269">
      <w:bodyDiv w:val="1"/>
      <w:marLeft w:val="0"/>
      <w:marRight w:val="0"/>
      <w:marTop w:val="0"/>
      <w:marBottom w:val="0"/>
      <w:divBdr>
        <w:top w:val="none" w:sz="0" w:space="0" w:color="auto"/>
        <w:left w:val="none" w:sz="0" w:space="0" w:color="auto"/>
        <w:bottom w:val="none" w:sz="0" w:space="0" w:color="auto"/>
        <w:right w:val="none" w:sz="0" w:space="0" w:color="auto"/>
      </w:divBdr>
    </w:div>
    <w:div w:id="502474300">
      <w:bodyDiv w:val="1"/>
      <w:marLeft w:val="0"/>
      <w:marRight w:val="0"/>
      <w:marTop w:val="0"/>
      <w:marBottom w:val="0"/>
      <w:divBdr>
        <w:top w:val="none" w:sz="0" w:space="0" w:color="auto"/>
        <w:left w:val="none" w:sz="0" w:space="0" w:color="auto"/>
        <w:bottom w:val="none" w:sz="0" w:space="0" w:color="auto"/>
        <w:right w:val="none" w:sz="0" w:space="0" w:color="auto"/>
      </w:divBdr>
    </w:div>
    <w:div w:id="546261403">
      <w:bodyDiv w:val="1"/>
      <w:marLeft w:val="0"/>
      <w:marRight w:val="0"/>
      <w:marTop w:val="0"/>
      <w:marBottom w:val="0"/>
      <w:divBdr>
        <w:top w:val="none" w:sz="0" w:space="0" w:color="auto"/>
        <w:left w:val="none" w:sz="0" w:space="0" w:color="auto"/>
        <w:bottom w:val="none" w:sz="0" w:space="0" w:color="auto"/>
        <w:right w:val="none" w:sz="0" w:space="0" w:color="auto"/>
      </w:divBdr>
    </w:div>
    <w:div w:id="552888700">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53489234">
      <w:bodyDiv w:val="1"/>
      <w:marLeft w:val="0"/>
      <w:marRight w:val="0"/>
      <w:marTop w:val="0"/>
      <w:marBottom w:val="0"/>
      <w:divBdr>
        <w:top w:val="none" w:sz="0" w:space="0" w:color="auto"/>
        <w:left w:val="none" w:sz="0" w:space="0" w:color="auto"/>
        <w:bottom w:val="none" w:sz="0" w:space="0" w:color="auto"/>
        <w:right w:val="none" w:sz="0" w:space="0" w:color="auto"/>
      </w:divBdr>
      <w:divsChild>
        <w:div w:id="754592035">
          <w:marLeft w:val="0"/>
          <w:marRight w:val="0"/>
          <w:marTop w:val="0"/>
          <w:marBottom w:val="0"/>
          <w:divBdr>
            <w:top w:val="none" w:sz="0" w:space="0" w:color="auto"/>
            <w:left w:val="none" w:sz="0" w:space="0" w:color="auto"/>
            <w:bottom w:val="none" w:sz="0" w:space="0" w:color="auto"/>
            <w:right w:val="none" w:sz="0" w:space="0" w:color="auto"/>
          </w:divBdr>
        </w:div>
      </w:divsChild>
    </w:div>
    <w:div w:id="702554114">
      <w:bodyDiv w:val="1"/>
      <w:marLeft w:val="0"/>
      <w:marRight w:val="0"/>
      <w:marTop w:val="0"/>
      <w:marBottom w:val="0"/>
      <w:divBdr>
        <w:top w:val="none" w:sz="0" w:space="0" w:color="auto"/>
        <w:left w:val="none" w:sz="0" w:space="0" w:color="auto"/>
        <w:bottom w:val="none" w:sz="0" w:space="0" w:color="auto"/>
        <w:right w:val="none" w:sz="0" w:space="0" w:color="auto"/>
      </w:divBdr>
    </w:div>
    <w:div w:id="727998285">
      <w:bodyDiv w:val="1"/>
      <w:marLeft w:val="0"/>
      <w:marRight w:val="0"/>
      <w:marTop w:val="0"/>
      <w:marBottom w:val="0"/>
      <w:divBdr>
        <w:top w:val="none" w:sz="0" w:space="0" w:color="auto"/>
        <w:left w:val="none" w:sz="0" w:space="0" w:color="auto"/>
        <w:bottom w:val="none" w:sz="0" w:space="0" w:color="auto"/>
        <w:right w:val="none" w:sz="0" w:space="0" w:color="auto"/>
      </w:divBdr>
    </w:div>
    <w:div w:id="765267448">
      <w:bodyDiv w:val="1"/>
      <w:marLeft w:val="0"/>
      <w:marRight w:val="0"/>
      <w:marTop w:val="0"/>
      <w:marBottom w:val="0"/>
      <w:divBdr>
        <w:top w:val="none" w:sz="0" w:space="0" w:color="auto"/>
        <w:left w:val="none" w:sz="0" w:space="0" w:color="auto"/>
        <w:bottom w:val="none" w:sz="0" w:space="0" w:color="auto"/>
        <w:right w:val="none" w:sz="0" w:space="0" w:color="auto"/>
      </w:divBdr>
    </w:div>
    <w:div w:id="798302845">
      <w:bodyDiv w:val="1"/>
      <w:marLeft w:val="0"/>
      <w:marRight w:val="0"/>
      <w:marTop w:val="0"/>
      <w:marBottom w:val="0"/>
      <w:divBdr>
        <w:top w:val="none" w:sz="0" w:space="0" w:color="auto"/>
        <w:left w:val="none" w:sz="0" w:space="0" w:color="auto"/>
        <w:bottom w:val="none" w:sz="0" w:space="0" w:color="auto"/>
        <w:right w:val="none" w:sz="0" w:space="0" w:color="auto"/>
      </w:divBdr>
    </w:div>
    <w:div w:id="801508030">
      <w:bodyDiv w:val="1"/>
      <w:marLeft w:val="0"/>
      <w:marRight w:val="0"/>
      <w:marTop w:val="0"/>
      <w:marBottom w:val="0"/>
      <w:divBdr>
        <w:top w:val="none" w:sz="0" w:space="0" w:color="auto"/>
        <w:left w:val="none" w:sz="0" w:space="0" w:color="auto"/>
        <w:bottom w:val="none" w:sz="0" w:space="0" w:color="auto"/>
        <w:right w:val="none" w:sz="0" w:space="0" w:color="auto"/>
      </w:divBdr>
      <w:divsChild>
        <w:div w:id="526989224">
          <w:marLeft w:val="0"/>
          <w:marRight w:val="0"/>
          <w:marTop w:val="0"/>
          <w:marBottom w:val="0"/>
          <w:divBdr>
            <w:top w:val="none" w:sz="0" w:space="0" w:color="auto"/>
            <w:left w:val="none" w:sz="0" w:space="0" w:color="auto"/>
            <w:bottom w:val="none" w:sz="0" w:space="0" w:color="auto"/>
            <w:right w:val="none" w:sz="0" w:space="0" w:color="auto"/>
          </w:divBdr>
        </w:div>
      </w:divsChild>
    </w:div>
    <w:div w:id="902064337">
      <w:bodyDiv w:val="1"/>
      <w:marLeft w:val="0"/>
      <w:marRight w:val="0"/>
      <w:marTop w:val="0"/>
      <w:marBottom w:val="0"/>
      <w:divBdr>
        <w:top w:val="none" w:sz="0" w:space="0" w:color="auto"/>
        <w:left w:val="none" w:sz="0" w:space="0" w:color="auto"/>
        <w:bottom w:val="none" w:sz="0" w:space="0" w:color="auto"/>
        <w:right w:val="none" w:sz="0" w:space="0" w:color="auto"/>
      </w:divBdr>
    </w:div>
    <w:div w:id="951206617">
      <w:bodyDiv w:val="1"/>
      <w:marLeft w:val="0"/>
      <w:marRight w:val="0"/>
      <w:marTop w:val="0"/>
      <w:marBottom w:val="0"/>
      <w:divBdr>
        <w:top w:val="none" w:sz="0" w:space="0" w:color="auto"/>
        <w:left w:val="none" w:sz="0" w:space="0" w:color="auto"/>
        <w:bottom w:val="none" w:sz="0" w:space="0" w:color="auto"/>
        <w:right w:val="none" w:sz="0" w:space="0" w:color="auto"/>
      </w:divBdr>
    </w:div>
    <w:div w:id="1021198883">
      <w:bodyDiv w:val="1"/>
      <w:marLeft w:val="0"/>
      <w:marRight w:val="0"/>
      <w:marTop w:val="0"/>
      <w:marBottom w:val="0"/>
      <w:divBdr>
        <w:top w:val="none" w:sz="0" w:space="0" w:color="auto"/>
        <w:left w:val="none" w:sz="0" w:space="0" w:color="auto"/>
        <w:bottom w:val="none" w:sz="0" w:space="0" w:color="auto"/>
        <w:right w:val="none" w:sz="0" w:space="0" w:color="auto"/>
      </w:divBdr>
    </w:div>
    <w:div w:id="1023440747">
      <w:bodyDiv w:val="1"/>
      <w:marLeft w:val="0"/>
      <w:marRight w:val="0"/>
      <w:marTop w:val="0"/>
      <w:marBottom w:val="0"/>
      <w:divBdr>
        <w:top w:val="none" w:sz="0" w:space="0" w:color="auto"/>
        <w:left w:val="none" w:sz="0" w:space="0" w:color="auto"/>
        <w:bottom w:val="none" w:sz="0" w:space="0" w:color="auto"/>
        <w:right w:val="none" w:sz="0" w:space="0" w:color="auto"/>
      </w:divBdr>
    </w:div>
    <w:div w:id="1066882061">
      <w:bodyDiv w:val="1"/>
      <w:marLeft w:val="0"/>
      <w:marRight w:val="0"/>
      <w:marTop w:val="0"/>
      <w:marBottom w:val="0"/>
      <w:divBdr>
        <w:top w:val="none" w:sz="0" w:space="0" w:color="auto"/>
        <w:left w:val="none" w:sz="0" w:space="0" w:color="auto"/>
        <w:bottom w:val="none" w:sz="0" w:space="0" w:color="auto"/>
        <w:right w:val="none" w:sz="0" w:space="0" w:color="auto"/>
      </w:divBdr>
    </w:div>
    <w:div w:id="1119645485">
      <w:bodyDiv w:val="1"/>
      <w:marLeft w:val="0"/>
      <w:marRight w:val="0"/>
      <w:marTop w:val="0"/>
      <w:marBottom w:val="0"/>
      <w:divBdr>
        <w:top w:val="none" w:sz="0" w:space="0" w:color="auto"/>
        <w:left w:val="none" w:sz="0" w:space="0" w:color="auto"/>
        <w:bottom w:val="none" w:sz="0" w:space="0" w:color="auto"/>
        <w:right w:val="none" w:sz="0" w:space="0" w:color="auto"/>
      </w:divBdr>
    </w:div>
    <w:div w:id="1184973733">
      <w:bodyDiv w:val="1"/>
      <w:marLeft w:val="0"/>
      <w:marRight w:val="0"/>
      <w:marTop w:val="0"/>
      <w:marBottom w:val="0"/>
      <w:divBdr>
        <w:top w:val="none" w:sz="0" w:space="0" w:color="auto"/>
        <w:left w:val="none" w:sz="0" w:space="0" w:color="auto"/>
        <w:bottom w:val="none" w:sz="0" w:space="0" w:color="auto"/>
        <w:right w:val="none" w:sz="0" w:space="0" w:color="auto"/>
      </w:divBdr>
    </w:div>
    <w:div w:id="1236210469">
      <w:bodyDiv w:val="1"/>
      <w:marLeft w:val="0"/>
      <w:marRight w:val="0"/>
      <w:marTop w:val="0"/>
      <w:marBottom w:val="0"/>
      <w:divBdr>
        <w:top w:val="none" w:sz="0" w:space="0" w:color="auto"/>
        <w:left w:val="none" w:sz="0" w:space="0" w:color="auto"/>
        <w:bottom w:val="none" w:sz="0" w:space="0" w:color="auto"/>
        <w:right w:val="none" w:sz="0" w:space="0" w:color="auto"/>
      </w:divBdr>
    </w:div>
    <w:div w:id="1254170342">
      <w:bodyDiv w:val="1"/>
      <w:marLeft w:val="0"/>
      <w:marRight w:val="0"/>
      <w:marTop w:val="0"/>
      <w:marBottom w:val="0"/>
      <w:divBdr>
        <w:top w:val="none" w:sz="0" w:space="0" w:color="auto"/>
        <w:left w:val="none" w:sz="0" w:space="0" w:color="auto"/>
        <w:bottom w:val="none" w:sz="0" w:space="0" w:color="auto"/>
        <w:right w:val="none" w:sz="0" w:space="0" w:color="auto"/>
      </w:divBdr>
    </w:div>
    <w:div w:id="1268122028">
      <w:bodyDiv w:val="1"/>
      <w:marLeft w:val="0"/>
      <w:marRight w:val="0"/>
      <w:marTop w:val="0"/>
      <w:marBottom w:val="0"/>
      <w:divBdr>
        <w:top w:val="none" w:sz="0" w:space="0" w:color="auto"/>
        <w:left w:val="none" w:sz="0" w:space="0" w:color="auto"/>
        <w:bottom w:val="none" w:sz="0" w:space="0" w:color="auto"/>
        <w:right w:val="none" w:sz="0" w:space="0" w:color="auto"/>
      </w:divBdr>
      <w:divsChild>
        <w:div w:id="1743411568">
          <w:marLeft w:val="0"/>
          <w:marRight w:val="0"/>
          <w:marTop w:val="0"/>
          <w:marBottom w:val="0"/>
          <w:divBdr>
            <w:top w:val="none" w:sz="0" w:space="0" w:color="auto"/>
            <w:left w:val="none" w:sz="0" w:space="0" w:color="auto"/>
            <w:bottom w:val="none" w:sz="0" w:space="0" w:color="auto"/>
            <w:right w:val="none" w:sz="0" w:space="0" w:color="auto"/>
          </w:divBdr>
          <w:divsChild>
            <w:div w:id="1492142274">
              <w:marLeft w:val="4757"/>
              <w:marRight w:val="4757"/>
              <w:marTop w:val="0"/>
              <w:marBottom w:val="750"/>
              <w:divBdr>
                <w:top w:val="none" w:sz="0" w:space="0" w:color="auto"/>
                <w:left w:val="none" w:sz="0" w:space="0" w:color="auto"/>
                <w:bottom w:val="none" w:sz="0" w:space="0" w:color="auto"/>
                <w:right w:val="none" w:sz="0" w:space="0" w:color="auto"/>
              </w:divBdr>
              <w:divsChild>
                <w:div w:id="1702853876">
                  <w:marLeft w:val="0"/>
                  <w:marRight w:val="0"/>
                  <w:marTop w:val="0"/>
                  <w:marBottom w:val="0"/>
                  <w:divBdr>
                    <w:top w:val="none" w:sz="0" w:space="0" w:color="auto"/>
                    <w:left w:val="none" w:sz="0" w:space="0" w:color="auto"/>
                    <w:bottom w:val="none" w:sz="0" w:space="0" w:color="auto"/>
                    <w:right w:val="none" w:sz="0" w:space="0" w:color="auto"/>
                  </w:divBdr>
                  <w:divsChild>
                    <w:div w:id="1851947539">
                      <w:marLeft w:val="0"/>
                      <w:marRight w:val="0"/>
                      <w:marTop w:val="0"/>
                      <w:marBottom w:val="0"/>
                      <w:divBdr>
                        <w:top w:val="none" w:sz="0" w:space="0" w:color="auto"/>
                        <w:left w:val="none" w:sz="0" w:space="0" w:color="auto"/>
                        <w:bottom w:val="none" w:sz="0" w:space="0" w:color="auto"/>
                        <w:right w:val="none" w:sz="0" w:space="0" w:color="auto"/>
                      </w:divBdr>
                      <w:divsChild>
                        <w:div w:id="477646046">
                          <w:marLeft w:val="0"/>
                          <w:marRight w:val="0"/>
                          <w:marTop w:val="0"/>
                          <w:marBottom w:val="0"/>
                          <w:divBdr>
                            <w:top w:val="none" w:sz="0" w:space="0" w:color="auto"/>
                            <w:left w:val="none" w:sz="0" w:space="0" w:color="auto"/>
                            <w:bottom w:val="none" w:sz="0" w:space="0" w:color="auto"/>
                            <w:right w:val="none" w:sz="0" w:space="0" w:color="auto"/>
                          </w:divBdr>
                          <w:divsChild>
                            <w:div w:id="2013528769">
                              <w:marLeft w:val="0"/>
                              <w:marRight w:val="0"/>
                              <w:marTop w:val="0"/>
                              <w:marBottom w:val="0"/>
                              <w:divBdr>
                                <w:top w:val="none" w:sz="0" w:space="0" w:color="auto"/>
                                <w:left w:val="none" w:sz="0" w:space="0" w:color="auto"/>
                                <w:bottom w:val="none" w:sz="0" w:space="0" w:color="auto"/>
                                <w:right w:val="none" w:sz="0" w:space="0" w:color="auto"/>
                              </w:divBdr>
                              <w:divsChild>
                                <w:div w:id="590087048">
                                  <w:marLeft w:val="3000"/>
                                  <w:marRight w:val="0"/>
                                  <w:marTop w:val="0"/>
                                  <w:marBottom w:val="0"/>
                                  <w:divBdr>
                                    <w:top w:val="none" w:sz="0" w:space="0" w:color="auto"/>
                                    <w:left w:val="none" w:sz="0" w:space="0" w:color="auto"/>
                                    <w:bottom w:val="none" w:sz="0" w:space="0" w:color="auto"/>
                                    <w:right w:val="none" w:sz="0" w:space="0" w:color="auto"/>
                                  </w:divBdr>
                                  <w:divsChild>
                                    <w:div w:id="1524435409">
                                      <w:marLeft w:val="0"/>
                                      <w:marRight w:val="0"/>
                                      <w:marTop w:val="0"/>
                                      <w:marBottom w:val="0"/>
                                      <w:divBdr>
                                        <w:top w:val="none" w:sz="0" w:space="0" w:color="auto"/>
                                        <w:left w:val="none" w:sz="0" w:space="0" w:color="auto"/>
                                        <w:bottom w:val="none" w:sz="0" w:space="0" w:color="auto"/>
                                        <w:right w:val="none" w:sz="0" w:space="0" w:color="auto"/>
                                      </w:divBdr>
                                    </w:div>
                                    <w:div w:id="443505400">
                                      <w:marLeft w:val="0"/>
                                      <w:marRight w:val="0"/>
                                      <w:marTop w:val="0"/>
                                      <w:marBottom w:val="0"/>
                                      <w:divBdr>
                                        <w:top w:val="none" w:sz="0" w:space="0" w:color="auto"/>
                                        <w:left w:val="none" w:sz="0" w:space="0" w:color="auto"/>
                                        <w:bottom w:val="none" w:sz="0" w:space="0" w:color="auto"/>
                                        <w:right w:val="none" w:sz="0" w:space="0" w:color="auto"/>
                                      </w:divBdr>
                                      <w:divsChild>
                                        <w:div w:id="2094617083">
                                          <w:marLeft w:val="0"/>
                                          <w:marRight w:val="0"/>
                                          <w:marTop w:val="0"/>
                                          <w:marBottom w:val="0"/>
                                          <w:divBdr>
                                            <w:top w:val="none" w:sz="0" w:space="0" w:color="auto"/>
                                            <w:left w:val="none" w:sz="0" w:space="0" w:color="auto"/>
                                            <w:bottom w:val="none" w:sz="0" w:space="0" w:color="auto"/>
                                            <w:right w:val="none" w:sz="0" w:space="0" w:color="auto"/>
                                          </w:divBdr>
                                        </w:div>
                                      </w:divsChild>
                                    </w:div>
                                    <w:div w:id="1201089657">
                                      <w:marLeft w:val="0"/>
                                      <w:marRight w:val="0"/>
                                      <w:marTop w:val="0"/>
                                      <w:marBottom w:val="0"/>
                                      <w:divBdr>
                                        <w:top w:val="none" w:sz="0" w:space="0" w:color="auto"/>
                                        <w:left w:val="none" w:sz="0" w:space="0" w:color="auto"/>
                                        <w:bottom w:val="none" w:sz="0" w:space="0" w:color="auto"/>
                                        <w:right w:val="none" w:sz="0" w:space="0" w:color="auto"/>
                                      </w:divBdr>
                                      <w:divsChild>
                                        <w:div w:id="1072701714">
                                          <w:marLeft w:val="0"/>
                                          <w:marRight w:val="0"/>
                                          <w:marTop w:val="0"/>
                                          <w:marBottom w:val="0"/>
                                          <w:divBdr>
                                            <w:top w:val="none" w:sz="0" w:space="0" w:color="auto"/>
                                            <w:left w:val="none" w:sz="0" w:space="0" w:color="auto"/>
                                            <w:bottom w:val="none" w:sz="0" w:space="0" w:color="auto"/>
                                            <w:right w:val="none" w:sz="0" w:space="0" w:color="auto"/>
                                          </w:divBdr>
                                        </w:div>
                                      </w:divsChild>
                                    </w:div>
                                    <w:div w:id="1109005478">
                                      <w:marLeft w:val="0"/>
                                      <w:marRight w:val="0"/>
                                      <w:marTop w:val="0"/>
                                      <w:marBottom w:val="0"/>
                                      <w:divBdr>
                                        <w:top w:val="none" w:sz="0" w:space="0" w:color="auto"/>
                                        <w:left w:val="none" w:sz="0" w:space="0" w:color="auto"/>
                                        <w:bottom w:val="none" w:sz="0" w:space="0" w:color="auto"/>
                                        <w:right w:val="none" w:sz="0" w:space="0" w:color="auto"/>
                                      </w:divBdr>
                                    </w:div>
                                    <w:div w:id="946540426">
                                      <w:marLeft w:val="0"/>
                                      <w:marRight w:val="0"/>
                                      <w:marTop w:val="0"/>
                                      <w:marBottom w:val="0"/>
                                      <w:divBdr>
                                        <w:top w:val="none" w:sz="0" w:space="0" w:color="auto"/>
                                        <w:left w:val="none" w:sz="0" w:space="0" w:color="auto"/>
                                        <w:bottom w:val="none" w:sz="0" w:space="0" w:color="auto"/>
                                        <w:right w:val="none" w:sz="0" w:space="0" w:color="auto"/>
                                      </w:divBdr>
                                    </w:div>
                                  </w:divsChild>
                                </w:div>
                                <w:div w:id="866522824">
                                  <w:marLeft w:val="0"/>
                                  <w:marRight w:val="0"/>
                                  <w:marTop w:val="0"/>
                                  <w:marBottom w:val="0"/>
                                  <w:divBdr>
                                    <w:top w:val="none" w:sz="0" w:space="0" w:color="auto"/>
                                    <w:left w:val="none" w:sz="0" w:space="0" w:color="auto"/>
                                    <w:bottom w:val="none" w:sz="0" w:space="0" w:color="auto"/>
                                    <w:right w:val="none" w:sz="0" w:space="0" w:color="auto"/>
                                  </w:divBdr>
                                  <w:divsChild>
                                    <w:div w:id="335306304">
                                      <w:marLeft w:val="0"/>
                                      <w:marRight w:val="0"/>
                                      <w:marTop w:val="0"/>
                                      <w:marBottom w:val="0"/>
                                      <w:divBdr>
                                        <w:top w:val="none" w:sz="0" w:space="0" w:color="auto"/>
                                        <w:left w:val="none" w:sz="0" w:space="0" w:color="auto"/>
                                        <w:bottom w:val="none" w:sz="0" w:space="0" w:color="auto"/>
                                        <w:right w:val="none" w:sz="0" w:space="0" w:color="auto"/>
                                      </w:divBdr>
                                    </w:div>
                                    <w:div w:id="163867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112657">
      <w:bodyDiv w:val="1"/>
      <w:marLeft w:val="0"/>
      <w:marRight w:val="0"/>
      <w:marTop w:val="0"/>
      <w:marBottom w:val="0"/>
      <w:divBdr>
        <w:top w:val="none" w:sz="0" w:space="0" w:color="auto"/>
        <w:left w:val="none" w:sz="0" w:space="0" w:color="auto"/>
        <w:bottom w:val="none" w:sz="0" w:space="0" w:color="auto"/>
        <w:right w:val="none" w:sz="0" w:space="0" w:color="auto"/>
      </w:divBdr>
    </w:div>
    <w:div w:id="1384015349">
      <w:bodyDiv w:val="1"/>
      <w:marLeft w:val="0"/>
      <w:marRight w:val="0"/>
      <w:marTop w:val="0"/>
      <w:marBottom w:val="0"/>
      <w:divBdr>
        <w:top w:val="none" w:sz="0" w:space="0" w:color="auto"/>
        <w:left w:val="none" w:sz="0" w:space="0" w:color="auto"/>
        <w:bottom w:val="none" w:sz="0" w:space="0" w:color="auto"/>
        <w:right w:val="none" w:sz="0" w:space="0" w:color="auto"/>
      </w:divBdr>
    </w:div>
    <w:div w:id="1401052980">
      <w:bodyDiv w:val="1"/>
      <w:marLeft w:val="0"/>
      <w:marRight w:val="0"/>
      <w:marTop w:val="0"/>
      <w:marBottom w:val="0"/>
      <w:divBdr>
        <w:top w:val="none" w:sz="0" w:space="0" w:color="auto"/>
        <w:left w:val="none" w:sz="0" w:space="0" w:color="auto"/>
        <w:bottom w:val="none" w:sz="0" w:space="0" w:color="auto"/>
        <w:right w:val="none" w:sz="0" w:space="0" w:color="auto"/>
      </w:divBdr>
    </w:div>
    <w:div w:id="1419594784">
      <w:bodyDiv w:val="1"/>
      <w:marLeft w:val="0"/>
      <w:marRight w:val="0"/>
      <w:marTop w:val="0"/>
      <w:marBottom w:val="0"/>
      <w:divBdr>
        <w:top w:val="none" w:sz="0" w:space="0" w:color="auto"/>
        <w:left w:val="none" w:sz="0" w:space="0" w:color="auto"/>
        <w:bottom w:val="none" w:sz="0" w:space="0" w:color="auto"/>
        <w:right w:val="none" w:sz="0" w:space="0" w:color="auto"/>
      </w:divBdr>
      <w:divsChild>
        <w:div w:id="44988813">
          <w:marLeft w:val="0"/>
          <w:marRight w:val="0"/>
          <w:marTop w:val="0"/>
          <w:marBottom w:val="0"/>
          <w:divBdr>
            <w:top w:val="none" w:sz="0" w:space="0" w:color="auto"/>
            <w:left w:val="none" w:sz="0" w:space="0" w:color="auto"/>
            <w:bottom w:val="none" w:sz="0" w:space="0" w:color="auto"/>
            <w:right w:val="none" w:sz="0" w:space="0" w:color="auto"/>
          </w:divBdr>
        </w:div>
      </w:divsChild>
    </w:div>
    <w:div w:id="1523351301">
      <w:bodyDiv w:val="1"/>
      <w:marLeft w:val="0"/>
      <w:marRight w:val="0"/>
      <w:marTop w:val="0"/>
      <w:marBottom w:val="0"/>
      <w:divBdr>
        <w:top w:val="none" w:sz="0" w:space="0" w:color="auto"/>
        <w:left w:val="none" w:sz="0" w:space="0" w:color="auto"/>
        <w:bottom w:val="none" w:sz="0" w:space="0" w:color="auto"/>
        <w:right w:val="none" w:sz="0" w:space="0" w:color="auto"/>
      </w:divBdr>
    </w:div>
    <w:div w:id="1531530683">
      <w:bodyDiv w:val="1"/>
      <w:marLeft w:val="0"/>
      <w:marRight w:val="0"/>
      <w:marTop w:val="0"/>
      <w:marBottom w:val="0"/>
      <w:divBdr>
        <w:top w:val="none" w:sz="0" w:space="0" w:color="auto"/>
        <w:left w:val="none" w:sz="0" w:space="0" w:color="auto"/>
        <w:bottom w:val="none" w:sz="0" w:space="0" w:color="auto"/>
        <w:right w:val="none" w:sz="0" w:space="0" w:color="auto"/>
      </w:divBdr>
    </w:div>
    <w:div w:id="1610048116">
      <w:bodyDiv w:val="1"/>
      <w:marLeft w:val="0"/>
      <w:marRight w:val="0"/>
      <w:marTop w:val="0"/>
      <w:marBottom w:val="0"/>
      <w:divBdr>
        <w:top w:val="none" w:sz="0" w:space="0" w:color="auto"/>
        <w:left w:val="none" w:sz="0" w:space="0" w:color="auto"/>
        <w:bottom w:val="none" w:sz="0" w:space="0" w:color="auto"/>
        <w:right w:val="none" w:sz="0" w:space="0" w:color="auto"/>
      </w:divBdr>
    </w:div>
    <w:div w:id="1628782289">
      <w:bodyDiv w:val="1"/>
      <w:marLeft w:val="0"/>
      <w:marRight w:val="0"/>
      <w:marTop w:val="0"/>
      <w:marBottom w:val="0"/>
      <w:divBdr>
        <w:top w:val="none" w:sz="0" w:space="0" w:color="auto"/>
        <w:left w:val="none" w:sz="0" w:space="0" w:color="auto"/>
        <w:bottom w:val="none" w:sz="0" w:space="0" w:color="auto"/>
        <w:right w:val="none" w:sz="0" w:space="0" w:color="auto"/>
      </w:divBdr>
    </w:div>
    <w:div w:id="1634020537">
      <w:bodyDiv w:val="1"/>
      <w:marLeft w:val="0"/>
      <w:marRight w:val="0"/>
      <w:marTop w:val="0"/>
      <w:marBottom w:val="0"/>
      <w:divBdr>
        <w:top w:val="none" w:sz="0" w:space="0" w:color="auto"/>
        <w:left w:val="none" w:sz="0" w:space="0" w:color="auto"/>
        <w:bottom w:val="none" w:sz="0" w:space="0" w:color="auto"/>
        <w:right w:val="none" w:sz="0" w:space="0" w:color="auto"/>
      </w:divBdr>
    </w:div>
    <w:div w:id="1674062421">
      <w:bodyDiv w:val="1"/>
      <w:marLeft w:val="0"/>
      <w:marRight w:val="0"/>
      <w:marTop w:val="0"/>
      <w:marBottom w:val="0"/>
      <w:divBdr>
        <w:top w:val="none" w:sz="0" w:space="0" w:color="auto"/>
        <w:left w:val="none" w:sz="0" w:space="0" w:color="auto"/>
        <w:bottom w:val="none" w:sz="0" w:space="0" w:color="auto"/>
        <w:right w:val="none" w:sz="0" w:space="0" w:color="auto"/>
      </w:divBdr>
    </w:div>
    <w:div w:id="1686245025">
      <w:bodyDiv w:val="1"/>
      <w:marLeft w:val="0"/>
      <w:marRight w:val="0"/>
      <w:marTop w:val="0"/>
      <w:marBottom w:val="0"/>
      <w:divBdr>
        <w:top w:val="none" w:sz="0" w:space="0" w:color="auto"/>
        <w:left w:val="none" w:sz="0" w:space="0" w:color="auto"/>
        <w:bottom w:val="none" w:sz="0" w:space="0" w:color="auto"/>
        <w:right w:val="none" w:sz="0" w:space="0" w:color="auto"/>
      </w:divBdr>
    </w:div>
    <w:div w:id="1732774998">
      <w:bodyDiv w:val="1"/>
      <w:marLeft w:val="0"/>
      <w:marRight w:val="0"/>
      <w:marTop w:val="0"/>
      <w:marBottom w:val="0"/>
      <w:divBdr>
        <w:top w:val="none" w:sz="0" w:space="0" w:color="auto"/>
        <w:left w:val="none" w:sz="0" w:space="0" w:color="auto"/>
        <w:bottom w:val="none" w:sz="0" w:space="0" w:color="auto"/>
        <w:right w:val="none" w:sz="0" w:space="0" w:color="auto"/>
      </w:divBdr>
    </w:div>
    <w:div w:id="1780032003">
      <w:bodyDiv w:val="1"/>
      <w:marLeft w:val="0"/>
      <w:marRight w:val="0"/>
      <w:marTop w:val="0"/>
      <w:marBottom w:val="0"/>
      <w:divBdr>
        <w:top w:val="none" w:sz="0" w:space="0" w:color="auto"/>
        <w:left w:val="none" w:sz="0" w:space="0" w:color="auto"/>
        <w:bottom w:val="none" w:sz="0" w:space="0" w:color="auto"/>
        <w:right w:val="none" w:sz="0" w:space="0" w:color="auto"/>
      </w:divBdr>
    </w:div>
    <w:div w:id="1783912451">
      <w:bodyDiv w:val="1"/>
      <w:marLeft w:val="0"/>
      <w:marRight w:val="0"/>
      <w:marTop w:val="0"/>
      <w:marBottom w:val="0"/>
      <w:divBdr>
        <w:top w:val="none" w:sz="0" w:space="0" w:color="auto"/>
        <w:left w:val="none" w:sz="0" w:space="0" w:color="auto"/>
        <w:bottom w:val="none" w:sz="0" w:space="0" w:color="auto"/>
        <w:right w:val="none" w:sz="0" w:space="0" w:color="auto"/>
      </w:divBdr>
    </w:div>
    <w:div w:id="1814717404">
      <w:bodyDiv w:val="1"/>
      <w:marLeft w:val="0"/>
      <w:marRight w:val="0"/>
      <w:marTop w:val="0"/>
      <w:marBottom w:val="0"/>
      <w:divBdr>
        <w:top w:val="none" w:sz="0" w:space="0" w:color="auto"/>
        <w:left w:val="none" w:sz="0" w:space="0" w:color="auto"/>
        <w:bottom w:val="none" w:sz="0" w:space="0" w:color="auto"/>
        <w:right w:val="none" w:sz="0" w:space="0" w:color="auto"/>
      </w:divBdr>
    </w:div>
    <w:div w:id="1926959140">
      <w:bodyDiv w:val="1"/>
      <w:marLeft w:val="0"/>
      <w:marRight w:val="0"/>
      <w:marTop w:val="0"/>
      <w:marBottom w:val="0"/>
      <w:divBdr>
        <w:top w:val="none" w:sz="0" w:space="0" w:color="auto"/>
        <w:left w:val="none" w:sz="0" w:space="0" w:color="auto"/>
        <w:bottom w:val="none" w:sz="0" w:space="0" w:color="auto"/>
        <w:right w:val="none" w:sz="0" w:space="0" w:color="auto"/>
      </w:divBdr>
    </w:div>
    <w:div w:id="2078896123">
      <w:bodyDiv w:val="1"/>
      <w:marLeft w:val="0"/>
      <w:marRight w:val="0"/>
      <w:marTop w:val="0"/>
      <w:marBottom w:val="0"/>
      <w:divBdr>
        <w:top w:val="none" w:sz="0" w:space="0" w:color="auto"/>
        <w:left w:val="none" w:sz="0" w:space="0" w:color="auto"/>
        <w:bottom w:val="none" w:sz="0" w:space="0" w:color="auto"/>
        <w:right w:val="none" w:sz="0" w:space="0" w:color="auto"/>
      </w:divBdr>
    </w:div>
    <w:div w:id="2105422063">
      <w:bodyDiv w:val="1"/>
      <w:marLeft w:val="0"/>
      <w:marRight w:val="0"/>
      <w:marTop w:val="0"/>
      <w:marBottom w:val="0"/>
      <w:divBdr>
        <w:top w:val="none" w:sz="0" w:space="0" w:color="auto"/>
        <w:left w:val="none" w:sz="0" w:space="0" w:color="auto"/>
        <w:bottom w:val="none" w:sz="0" w:space="0" w:color="auto"/>
        <w:right w:val="none" w:sz="0" w:space="0" w:color="auto"/>
      </w:divBdr>
      <w:divsChild>
        <w:div w:id="1978143355">
          <w:marLeft w:val="0"/>
          <w:marRight w:val="0"/>
          <w:marTop w:val="0"/>
          <w:marBottom w:val="150"/>
          <w:divBdr>
            <w:top w:val="none" w:sz="0" w:space="0" w:color="auto"/>
            <w:left w:val="none" w:sz="0" w:space="0" w:color="auto"/>
            <w:bottom w:val="none" w:sz="0" w:space="0" w:color="auto"/>
            <w:right w:val="none" w:sz="0" w:space="0" w:color="auto"/>
          </w:divBdr>
        </w:div>
        <w:div w:id="2054309740">
          <w:marLeft w:val="0"/>
          <w:marRight w:val="0"/>
          <w:marTop w:val="0"/>
          <w:marBottom w:val="150"/>
          <w:divBdr>
            <w:top w:val="none" w:sz="0" w:space="0" w:color="auto"/>
            <w:left w:val="none" w:sz="0" w:space="0" w:color="auto"/>
            <w:bottom w:val="none" w:sz="0" w:space="0" w:color="auto"/>
            <w:right w:val="none" w:sz="0" w:space="0" w:color="auto"/>
          </w:divBdr>
        </w:div>
      </w:divsChild>
    </w:div>
    <w:div w:id="21380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5700-8837-4397-93F3-E86B2A0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Farrenkopf</dc:creator>
  <cp:lastModifiedBy>Kim Farrenkopf</cp:lastModifiedBy>
  <cp:revision>2</cp:revision>
  <cp:lastPrinted>2018-11-13T19:41:00Z</cp:lastPrinted>
  <dcterms:created xsi:type="dcterms:W3CDTF">2025-03-25T18:17:00Z</dcterms:created>
  <dcterms:modified xsi:type="dcterms:W3CDTF">2025-03-25T18:17:00Z</dcterms:modified>
</cp:coreProperties>
</file>