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CellSpacing w:w="0" w:type="dxa"/>
        <w:shd w:val="clear" w:color="auto" w:fill="FFFFFF"/>
        <w:tblCellMar>
          <w:left w:w="0" w:type="dxa"/>
          <w:right w:w="0" w:type="dxa"/>
        </w:tblCellMar>
        <w:tblLook w:val="04A0" w:firstRow="1" w:lastRow="0" w:firstColumn="1" w:lastColumn="0" w:noHBand="0" w:noVBand="1"/>
      </w:tblPr>
      <w:tblGrid>
        <w:gridCol w:w="10800"/>
      </w:tblGrid>
      <w:tr w:rsidR="00861EF8" w:rsidRPr="00861EF8" w14:paraId="0C0575C6" w14:textId="77777777" w:rsidTr="002F3C2D">
        <w:trPr>
          <w:tblCellSpacing w:w="0" w:type="dxa"/>
        </w:trPr>
        <w:tc>
          <w:tcPr>
            <w:tcW w:w="0" w:type="auto"/>
            <w:shd w:val="clear" w:color="auto" w:fill="FFFFFF"/>
            <w:tcMar>
              <w:top w:w="0" w:type="dxa"/>
              <w:left w:w="450" w:type="dxa"/>
              <w:bottom w:w="0" w:type="dxa"/>
              <w:right w:w="300" w:type="dxa"/>
            </w:tcMar>
            <w:vAlign w:val="center"/>
          </w:tcPr>
          <w:p w14:paraId="618A26F5" w14:textId="77777777" w:rsidR="00861EF8" w:rsidRPr="00861EF8" w:rsidRDefault="00861EF8" w:rsidP="00861EF8">
            <w:pPr>
              <w:spacing w:after="0" w:line="240" w:lineRule="auto"/>
              <w:rPr>
                <w:rFonts w:ascii="Arial" w:eastAsia="Times New Roman" w:hAnsi="Arial" w:cs="Arial"/>
                <w:color w:val="000000"/>
                <w:sz w:val="20"/>
                <w:szCs w:val="20"/>
              </w:rPr>
            </w:pPr>
          </w:p>
        </w:tc>
      </w:tr>
      <w:tr w:rsidR="00861EF8" w:rsidRPr="00861EF8" w14:paraId="49075C58" w14:textId="77777777" w:rsidTr="002F3C2D">
        <w:trPr>
          <w:tblCellSpacing w:w="0" w:type="dxa"/>
        </w:trPr>
        <w:tc>
          <w:tcPr>
            <w:tcW w:w="0" w:type="auto"/>
            <w:shd w:val="clear" w:color="auto" w:fill="FFFFFF"/>
            <w:tcMar>
              <w:top w:w="0" w:type="dxa"/>
              <w:left w:w="450" w:type="dxa"/>
              <w:bottom w:w="0" w:type="dxa"/>
              <w:right w:w="300" w:type="dxa"/>
            </w:tcMar>
            <w:vAlign w:val="center"/>
          </w:tcPr>
          <w:p w14:paraId="0D2113F5" w14:textId="77777777" w:rsidR="00861EF8" w:rsidRPr="00861EF8" w:rsidRDefault="00861EF8" w:rsidP="00861EF8">
            <w:pPr>
              <w:spacing w:after="0" w:line="240" w:lineRule="auto"/>
              <w:rPr>
                <w:rFonts w:ascii="Arial" w:eastAsia="Times New Roman" w:hAnsi="Arial" w:cs="Arial"/>
                <w:color w:val="000000"/>
                <w:sz w:val="20"/>
                <w:szCs w:val="20"/>
              </w:rPr>
            </w:pPr>
          </w:p>
        </w:tc>
      </w:tr>
      <w:tr w:rsidR="00861EF8" w:rsidRPr="00861EF8" w14:paraId="3A4A55D0" w14:textId="77777777" w:rsidTr="002F3C2D">
        <w:trPr>
          <w:tblCellSpacing w:w="0" w:type="dxa"/>
        </w:trPr>
        <w:tc>
          <w:tcPr>
            <w:tcW w:w="0" w:type="auto"/>
            <w:shd w:val="clear" w:color="auto" w:fill="FFFFFF"/>
            <w:tcMar>
              <w:top w:w="0" w:type="dxa"/>
              <w:left w:w="450" w:type="dxa"/>
              <w:bottom w:w="450" w:type="dxa"/>
              <w:right w:w="300" w:type="dxa"/>
            </w:tcMar>
            <w:vAlign w:val="center"/>
          </w:tcPr>
          <w:tbl>
            <w:tblPr>
              <w:tblW w:w="10800" w:type="dxa"/>
              <w:tblCellSpacing w:w="0" w:type="dxa"/>
              <w:shd w:val="clear" w:color="auto" w:fill="FFFFFF"/>
              <w:tblCellMar>
                <w:left w:w="0" w:type="dxa"/>
                <w:right w:w="0" w:type="dxa"/>
              </w:tblCellMar>
              <w:tblLook w:val="04A0" w:firstRow="1" w:lastRow="0" w:firstColumn="1" w:lastColumn="0" w:noHBand="0" w:noVBand="1"/>
            </w:tblPr>
            <w:tblGrid>
              <w:gridCol w:w="10800"/>
            </w:tblGrid>
            <w:tr w:rsidR="002F3C2D" w14:paraId="6FCB1583" w14:textId="77777777" w:rsidTr="002F3C2D">
              <w:trPr>
                <w:tblCellSpacing w:w="0" w:type="dxa"/>
              </w:trPr>
              <w:tc>
                <w:tcPr>
                  <w:tcW w:w="0" w:type="auto"/>
                  <w:shd w:val="clear" w:color="auto" w:fill="FFFFFF"/>
                  <w:tcMar>
                    <w:top w:w="0" w:type="dxa"/>
                    <w:left w:w="450" w:type="dxa"/>
                    <w:bottom w:w="0" w:type="dxa"/>
                    <w:right w:w="30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50"/>
                  </w:tblGrid>
                  <w:tr w:rsidR="002F3C2D" w14:paraId="385E4AC9" w14:textId="77777777">
                    <w:trPr>
                      <w:tblCellSpacing w:w="15" w:type="dxa"/>
                    </w:trPr>
                    <w:tc>
                      <w:tcPr>
                        <w:tcW w:w="0" w:type="auto"/>
                        <w:vAlign w:val="center"/>
                        <w:hideMark/>
                      </w:tcPr>
                      <w:tbl>
                        <w:tblPr>
                          <w:tblW w:w="5000" w:type="pct"/>
                          <w:jc w:val="center"/>
                          <w:tblCellSpacing w:w="75" w:type="dxa"/>
                          <w:tblCellMar>
                            <w:left w:w="0" w:type="dxa"/>
                            <w:right w:w="0" w:type="dxa"/>
                          </w:tblCellMar>
                          <w:tblLook w:val="04A0" w:firstRow="1" w:lastRow="0" w:firstColumn="1" w:lastColumn="0" w:noHBand="0" w:noVBand="1"/>
                        </w:tblPr>
                        <w:tblGrid>
                          <w:gridCol w:w="9960"/>
                        </w:tblGrid>
                        <w:tr w:rsidR="002F3C2D" w14:paraId="1CE0F873" w14:textId="77777777">
                          <w:trPr>
                            <w:tblCellSpacing w:w="75" w:type="dxa"/>
                            <w:jc w:val="center"/>
                          </w:trPr>
                          <w:tc>
                            <w:tcPr>
                              <w:tcW w:w="0" w:type="auto"/>
                              <w:vAlign w:val="center"/>
                              <w:hideMark/>
                            </w:tcPr>
                            <w:p w14:paraId="7FC753A6" w14:textId="77777777" w:rsidR="002F3C2D" w:rsidRDefault="002F3C2D" w:rsidP="002F3C2D">
                              <w:pPr>
                                <w:rPr>
                                  <w:b/>
                                  <w:bCs/>
                                  <w:caps/>
                                </w:rPr>
                              </w:pPr>
                              <w:r>
                                <w:rPr>
                                  <w:b/>
                                  <w:bCs/>
                                  <w:caps/>
                                </w:rPr>
                                <w:t>Market Month: May 2025</w:t>
                              </w:r>
                            </w:p>
                          </w:tc>
                        </w:tr>
                        <w:tr w:rsidR="002F3C2D" w14:paraId="71A604CF" w14:textId="77777777">
                          <w:trPr>
                            <w:tblCellSpacing w:w="75" w:type="dxa"/>
                            <w:jc w:val="center"/>
                          </w:trPr>
                          <w:tc>
                            <w:tcPr>
                              <w:tcW w:w="0" w:type="auto"/>
                              <w:shd w:val="clear" w:color="auto" w:fill="DFE7E7"/>
                              <w:tcMar>
                                <w:top w:w="150" w:type="dxa"/>
                                <w:left w:w="300" w:type="dxa"/>
                                <w:bottom w:w="150" w:type="dxa"/>
                                <w:right w:w="300" w:type="dxa"/>
                              </w:tcMar>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6"/>
                              </w:tblGrid>
                              <w:tr w:rsidR="002F3C2D" w14:paraId="33C907AA" w14:textId="77777777">
                                <w:trPr>
                                  <w:tblCellSpacing w:w="15" w:type="dxa"/>
                                  <w:jc w:val="center"/>
                                </w:trPr>
                                <w:tc>
                                  <w:tcPr>
                                    <w:tcW w:w="0" w:type="auto"/>
                                    <w:vAlign w:val="center"/>
                                    <w:hideMark/>
                                  </w:tcPr>
                                  <w:p w14:paraId="7DA8120A" w14:textId="77777777" w:rsidR="002F3C2D" w:rsidRDefault="002F3C2D" w:rsidP="002F3C2D">
                                    <w:pPr>
                                      <w:pStyle w:val="Heading2"/>
                                      <w:rPr>
                                        <w:color w:val="000000"/>
                                        <w:sz w:val="24"/>
                                        <w:szCs w:val="24"/>
                                      </w:rPr>
                                    </w:pPr>
                                    <w:r>
                                      <w:rPr>
                                        <w:color w:val="000000"/>
                                        <w:sz w:val="24"/>
                                        <w:szCs w:val="24"/>
                                      </w:rPr>
                                      <w:t>The Markets (as of market close May 30, 2025)</w:t>
                                    </w:r>
                                  </w:p>
                                </w:tc>
                              </w:tr>
                            </w:tbl>
                            <w:p w14:paraId="4237CC51" w14:textId="77777777" w:rsidR="002F3C2D" w:rsidRDefault="002F3C2D" w:rsidP="002F3C2D">
                              <w:pPr>
                                <w:rPr>
                                  <w:sz w:val="24"/>
                                  <w:szCs w:val="24"/>
                                </w:rPr>
                              </w:pPr>
                            </w:p>
                          </w:tc>
                        </w:tr>
                        <w:tr w:rsidR="002F3C2D" w14:paraId="35652E6D" w14:textId="77777777">
                          <w:trPr>
                            <w:tblCellSpacing w:w="75" w:type="dxa"/>
                            <w:jc w:val="center"/>
                          </w:trPr>
                          <w:tc>
                            <w:tcPr>
                              <w:tcW w:w="0" w:type="auto"/>
                              <w:vAlign w:val="center"/>
                              <w:hideMark/>
                            </w:tcPr>
                            <w:p w14:paraId="09135AAF" w14:textId="77777777" w:rsidR="002F3C2D" w:rsidRDefault="002F3C2D" w:rsidP="002F3C2D">
                              <w:pPr>
                                <w:pStyle w:val="NormalWeb"/>
                                <w:spacing w:before="0" w:beforeAutospacing="0" w:after="105" w:afterAutospacing="0"/>
                                <w:rPr>
                                  <w:rFonts w:ascii="Arial" w:hAnsi="Arial" w:cs="Arial"/>
                                  <w:color w:val="000000"/>
                                </w:rPr>
                              </w:pPr>
                              <w:r>
                                <w:rPr>
                                  <w:rFonts w:ascii="Arial" w:hAnsi="Arial" w:cs="Arial"/>
                                  <w:color w:val="000000"/>
                                </w:rPr>
                                <w:t xml:space="preserve">May proved to be one of the best months for stocks in quite some time. During May, equities ebbed and flowed in response to uncertainty over U.S. trade policy and the impact of tariffs. May got off to a good start on the heels of strong corporate earnings data and a solid jobs report. The month brought some progress in the U.S.-China trade war, with an agreement for a 90-day reduction in tariffs while the parties continued talks aimed at a trade resolution. However, at the end of the month, President Trump accused China of breaching their recent trade deal. Middle East investment deals also helped push tech shares higher. The S&amp;P 500 and the NASDAQ had their best months since 2023. Nine of the 11 market sectors ended May with gains, led by information technology, communication services, and consumer discretionary. Health care and energy </w:t>
                              </w:r>
                              <w:proofErr w:type="gramStart"/>
                              <w:r>
                                <w:rPr>
                                  <w:rFonts w:ascii="Arial" w:hAnsi="Arial" w:cs="Arial"/>
                                  <w:color w:val="000000"/>
                                </w:rPr>
                                <w:t>closed</w:t>
                              </w:r>
                              <w:proofErr w:type="gramEnd"/>
                              <w:r>
                                <w:rPr>
                                  <w:rFonts w:ascii="Arial" w:hAnsi="Arial" w:cs="Arial"/>
                                  <w:color w:val="000000"/>
                                </w:rPr>
                                <w:t xml:space="preserve"> in the red.</w:t>
                              </w:r>
                            </w:p>
                            <w:p w14:paraId="468AAB30" w14:textId="77777777" w:rsidR="002F3C2D" w:rsidRDefault="002F3C2D" w:rsidP="002F3C2D">
                              <w:pPr>
                                <w:pStyle w:val="NormalWeb"/>
                                <w:spacing w:before="0" w:beforeAutospacing="0" w:after="105" w:afterAutospacing="0"/>
                                <w:rPr>
                                  <w:rFonts w:ascii="Arial" w:hAnsi="Arial" w:cs="Arial"/>
                                  <w:color w:val="000000"/>
                                </w:rPr>
                              </w:pPr>
                              <w:r>
                                <w:rPr>
                                  <w:rFonts w:ascii="Arial" w:hAnsi="Arial" w:cs="Arial"/>
                                  <w:color w:val="000000"/>
                                </w:rPr>
                                <w:t xml:space="preserve">The latest inflation data was </w:t>
                              </w:r>
                              <w:proofErr w:type="gramStart"/>
                              <w:r>
                                <w:rPr>
                                  <w:rFonts w:ascii="Arial" w:hAnsi="Arial" w:cs="Arial"/>
                                  <w:color w:val="000000"/>
                                </w:rPr>
                                <w:t>encouraging,</w:t>
                              </w:r>
                              <w:proofErr w:type="gramEnd"/>
                              <w:r>
                                <w:rPr>
                                  <w:rFonts w:ascii="Arial" w:hAnsi="Arial" w:cs="Arial"/>
                                  <w:color w:val="000000"/>
                                </w:rPr>
                                <w:t xml:space="preserve"> however, it did not reflect the potential impact of global reciprocal tariffs, nor </w:t>
                              </w:r>
                              <w:proofErr w:type="gramStart"/>
                              <w:r>
                                <w:rPr>
                                  <w:rFonts w:ascii="Arial" w:hAnsi="Arial" w:cs="Arial"/>
                                  <w:color w:val="000000"/>
                                </w:rPr>
                                <w:t>has</w:t>
                              </w:r>
                              <w:proofErr w:type="gramEnd"/>
                              <w:r>
                                <w:rPr>
                                  <w:rFonts w:ascii="Arial" w:hAnsi="Arial" w:cs="Arial"/>
                                  <w:color w:val="000000"/>
                                </w:rPr>
                                <w:t xml:space="preserve"> it </w:t>
                              </w:r>
                              <w:proofErr w:type="gramStart"/>
                              <w:r>
                                <w:rPr>
                                  <w:rFonts w:ascii="Arial" w:hAnsi="Arial" w:cs="Arial"/>
                                  <w:color w:val="000000"/>
                                </w:rPr>
                                <w:t>reached</w:t>
                              </w:r>
                              <w:proofErr w:type="gramEnd"/>
                              <w:r>
                                <w:rPr>
                                  <w:rFonts w:ascii="Arial" w:hAnsi="Arial" w:cs="Arial"/>
                                  <w:color w:val="000000"/>
                                </w:rPr>
                                <w:t xml:space="preserve"> the Federal Reserve's 2.0% inflation objective. Both the personal consumption </w:t>
                              </w:r>
                              <w:proofErr w:type="gramStart"/>
                              <w:r>
                                <w:rPr>
                                  <w:rFonts w:ascii="Arial" w:hAnsi="Arial" w:cs="Arial"/>
                                  <w:color w:val="000000"/>
                                </w:rPr>
                                <w:t>expenditures</w:t>
                              </w:r>
                              <w:proofErr w:type="gramEnd"/>
                              <w:r>
                                <w:rPr>
                                  <w:rFonts w:ascii="Arial" w:hAnsi="Arial" w:cs="Arial"/>
                                  <w:color w:val="000000"/>
                                </w:rPr>
                                <w:t xml:space="preserve"> (PCE) price index and the Consumer Price Index declined over the 12 months ended in April, while core prices (excluding food and energy prices) for both indexes remained steady. In </w:t>
                              </w:r>
                              <w:proofErr w:type="spellStart"/>
                              <w:r>
                                <w:rPr>
                                  <w:rFonts w:ascii="Arial" w:hAnsi="Arial" w:cs="Arial"/>
                                  <w:color w:val="000000"/>
                                </w:rPr>
                                <w:t>lght</w:t>
                              </w:r>
                              <w:proofErr w:type="spellEnd"/>
                              <w:r>
                                <w:rPr>
                                  <w:rFonts w:ascii="Arial" w:hAnsi="Arial" w:cs="Arial"/>
                                  <w:color w:val="000000"/>
                                </w:rPr>
                                <w:t xml:space="preserve"> of the potential impact of tariffs, it is likely that the Federal Reserve will maintain a cautious approach as it continues to assess the balance of risks to the economy.</w:t>
                              </w:r>
                            </w:p>
                            <w:p w14:paraId="50D63271" w14:textId="77777777" w:rsidR="002F3C2D" w:rsidRDefault="002F3C2D" w:rsidP="002F3C2D">
                              <w:pPr>
                                <w:pStyle w:val="NormalWeb"/>
                                <w:spacing w:before="0" w:beforeAutospacing="0" w:after="105" w:afterAutospacing="0"/>
                                <w:rPr>
                                  <w:rFonts w:ascii="Arial" w:hAnsi="Arial" w:cs="Arial"/>
                                  <w:color w:val="000000"/>
                                </w:rPr>
                              </w:pPr>
                              <w:r>
                                <w:rPr>
                                  <w:rFonts w:ascii="Arial" w:hAnsi="Arial" w:cs="Arial"/>
                                  <w:color w:val="000000"/>
                                </w:rPr>
                                <w:t>Growth of the U.S. economy was muted in March. The gross domestic product (GDP) fell 0.2% in the first quarter following a 2.4% increase in the fourth quarter (see below). The widening of the trade deficit has had a substantial impact on economic growth in the first quarter. However, consumer spending rose 1.8%, the weakest increase since mid-2023. GDP's annual growth rate slipped 0.4 percentage point to 2.1% for the 12 months ended in March.</w:t>
                              </w:r>
                            </w:p>
                            <w:p w14:paraId="445A095E" w14:textId="77777777" w:rsidR="002F3C2D" w:rsidRDefault="002F3C2D" w:rsidP="002F3C2D">
                              <w:pPr>
                                <w:pStyle w:val="NormalWeb"/>
                                <w:spacing w:before="0" w:beforeAutospacing="0" w:after="105" w:afterAutospacing="0"/>
                                <w:rPr>
                                  <w:rFonts w:ascii="Arial" w:hAnsi="Arial" w:cs="Arial"/>
                                  <w:color w:val="000000"/>
                                </w:rPr>
                              </w:pPr>
                              <w:r>
                                <w:rPr>
                                  <w:rFonts w:ascii="Arial" w:hAnsi="Arial" w:cs="Arial"/>
                                  <w:color w:val="000000"/>
                                </w:rPr>
                                <w:t xml:space="preserve">Job growth exceeded expectations in April. Wages rose 3.8% over the past 12 months ended in April. The number of job openings fell by 288,000 in March to 7.2 million, which was the lowest total in six months and well below expectations. However, this data does not reflect the layoffs and cuts sanctioned by the Trump administration. The latest </w:t>
                              </w:r>
                              <w:r>
                                <w:rPr>
                                  <w:rFonts w:ascii="Arial" w:hAnsi="Arial" w:cs="Arial"/>
                                  <w:color w:val="000000"/>
                                </w:rPr>
                                <w:lastRenderedPageBreak/>
                                <w:t>unemployment data showed total claims paid through mid-May increased by 121,000 from a year earlier (see below).</w:t>
                              </w:r>
                            </w:p>
                            <w:p w14:paraId="4D263FB4" w14:textId="77777777" w:rsidR="002F3C2D" w:rsidRDefault="002F3C2D" w:rsidP="002F3C2D">
                              <w:pPr>
                                <w:pStyle w:val="NormalWeb"/>
                                <w:spacing w:before="0" w:beforeAutospacing="0" w:after="105" w:afterAutospacing="0"/>
                                <w:rPr>
                                  <w:rFonts w:ascii="Arial" w:hAnsi="Arial" w:cs="Arial"/>
                                  <w:color w:val="000000"/>
                                </w:rPr>
                              </w:pPr>
                              <w:r>
                                <w:rPr>
                                  <w:rFonts w:ascii="Arial" w:hAnsi="Arial" w:cs="Arial"/>
                                  <w:color w:val="000000"/>
                                </w:rPr>
                                <w:t>According to FactSet, during the first quarter of 2025, the health care sector reported the highest earnings growth of the 11 market sectors. Of the companies of the S&amp;P 500, 68 firms reported negative earnings per share (EPS), above the five-year average of 57. However, 78% of S&amp;P 500 companies exceeded EPS estimates. Overall, the S&amp;P 500 reported earnings growth of 12.9%, the second straight quarter of double-digit growth. Nevertheless, tariffs and their potential impact on international trade have concerned companies. For instance, 381 companies indicated uncertainty with respect to future earnings, well above the five-year average of 224, while 121 companies cited the term "recession" during their earnings calls for the first quarter, which is above the five-year average of 79.</w:t>
                              </w:r>
                            </w:p>
                            <w:p w14:paraId="4F66AD16" w14:textId="77777777" w:rsidR="002F3C2D" w:rsidRDefault="002F3C2D" w:rsidP="002F3C2D">
                              <w:pPr>
                                <w:pStyle w:val="NormalWeb"/>
                                <w:spacing w:before="0" w:beforeAutospacing="0" w:after="105" w:afterAutospacing="0"/>
                                <w:rPr>
                                  <w:rFonts w:ascii="Arial" w:hAnsi="Arial" w:cs="Arial"/>
                                  <w:color w:val="000000"/>
                                </w:rPr>
                              </w:pPr>
                              <w:r>
                                <w:rPr>
                                  <w:rFonts w:ascii="Arial" w:hAnsi="Arial" w:cs="Arial"/>
                                  <w:color w:val="000000"/>
                                </w:rPr>
                                <w:t xml:space="preserve">The real estate market had mixed results in April, with sales of existing homes falling, while new home sales rose. Mortgage rates remained elevated. According to Freddie Mac, the 30-year fixed-rate mortgage averaged 6.81% as of May 15. That's up from 6.76% one week before but down from 7.02% one year ago. Over the last few months, rates for 30-year fixed mortgages have remained stable and have </w:t>
                              </w:r>
                              <w:proofErr w:type="gramStart"/>
                              <w:r>
                                <w:rPr>
                                  <w:rFonts w:ascii="Arial" w:hAnsi="Arial" w:cs="Arial"/>
                                  <w:color w:val="000000"/>
                                </w:rPr>
                                <w:t>fluctuated</w:t>
                              </w:r>
                              <w:proofErr w:type="gramEnd"/>
                              <w:r>
                                <w:rPr>
                                  <w:rFonts w:ascii="Arial" w:hAnsi="Arial" w:cs="Arial"/>
                                  <w:color w:val="000000"/>
                                </w:rPr>
                                <w:t xml:space="preserve"> less than 20 basis points over that time.</w:t>
                              </w:r>
                            </w:p>
                            <w:p w14:paraId="310B16E2" w14:textId="77777777" w:rsidR="002F3C2D" w:rsidRDefault="002F3C2D" w:rsidP="002F3C2D">
                              <w:pPr>
                                <w:pStyle w:val="NormalWeb"/>
                                <w:spacing w:before="0" w:beforeAutospacing="0" w:after="105" w:afterAutospacing="0"/>
                                <w:rPr>
                                  <w:rFonts w:ascii="Arial" w:hAnsi="Arial" w:cs="Arial"/>
                                  <w:color w:val="000000"/>
                                </w:rPr>
                              </w:pPr>
                              <w:r>
                                <w:rPr>
                                  <w:rFonts w:ascii="Arial" w:hAnsi="Arial" w:cs="Arial"/>
                                  <w:color w:val="000000"/>
                                </w:rPr>
                                <w:t>Industrial production was unchanged in April but rose over the last 12 months. Manufacturing output, utilities, and mining each increased since April 2024. Purchasing managers reported manufacturing was unchanged in April, signaling only a slight increase in activity. Activity in the services sector slowed in April.</w:t>
                              </w:r>
                            </w:p>
                            <w:p w14:paraId="1179B98A" w14:textId="77777777" w:rsidR="002F3C2D" w:rsidRDefault="002F3C2D" w:rsidP="002F3C2D">
                              <w:pPr>
                                <w:pStyle w:val="NormalWeb"/>
                                <w:spacing w:before="0" w:beforeAutospacing="0" w:after="105" w:afterAutospacing="0"/>
                                <w:rPr>
                                  <w:rFonts w:ascii="Arial" w:hAnsi="Arial" w:cs="Arial"/>
                                  <w:color w:val="000000"/>
                                </w:rPr>
                              </w:pPr>
                              <w:r>
                                <w:rPr>
                                  <w:rFonts w:ascii="Arial" w:hAnsi="Arial" w:cs="Arial"/>
                                  <w:color w:val="000000"/>
                                </w:rPr>
                                <w:t>Ten-year Treasury yields closed the month higher as traders assessed developments in the trade war and government spending cuts. The two-year note closed May at about 3.9%, down 30 basis points from a month earlier. The dollar index fell for the fifth straight month, its longest losing streak in five years. Gold prices rose in May, marking their fifth straight monthly gain. Crude oil prices increased for the month, although trade tensions and supply concerns pressured prices for much of May. The retail price of regular gasoline was $3.160 per gallon on May 26, $0.027 below the price a month earlier and $0.417 lower than the price a year ago.</w:t>
                              </w:r>
                            </w:p>
                            <w:p w14:paraId="3B2A0AA1" w14:textId="77777777" w:rsidR="002F3C2D" w:rsidRDefault="002F3C2D" w:rsidP="002F3C2D">
                              <w:pPr>
                                <w:pStyle w:val="Heading3"/>
                                <w:spacing w:before="0" w:beforeAutospacing="0" w:after="75" w:afterAutospacing="0"/>
                                <w:rPr>
                                  <w:rFonts w:ascii="Arial" w:hAnsi="Arial" w:cs="Arial"/>
                                  <w:color w:val="336666"/>
                                  <w:sz w:val="24"/>
                                  <w:szCs w:val="24"/>
                                </w:rPr>
                              </w:pPr>
                            </w:p>
                            <w:p w14:paraId="698C22BA" w14:textId="77777777" w:rsidR="002F3C2D" w:rsidRDefault="002F3C2D" w:rsidP="002F3C2D">
                              <w:pPr>
                                <w:pStyle w:val="Heading3"/>
                                <w:spacing w:before="0" w:beforeAutospacing="0" w:after="75" w:afterAutospacing="0"/>
                                <w:rPr>
                                  <w:rFonts w:ascii="Arial" w:hAnsi="Arial" w:cs="Arial"/>
                                  <w:color w:val="336666"/>
                                  <w:sz w:val="24"/>
                                  <w:szCs w:val="24"/>
                                </w:rPr>
                              </w:pPr>
                            </w:p>
                            <w:p w14:paraId="394A349D" w14:textId="77777777" w:rsidR="002F3C2D" w:rsidRDefault="002F3C2D" w:rsidP="002F3C2D">
                              <w:pPr>
                                <w:pStyle w:val="Heading3"/>
                                <w:spacing w:before="0" w:beforeAutospacing="0" w:after="75" w:afterAutospacing="0"/>
                                <w:rPr>
                                  <w:rFonts w:ascii="Arial" w:hAnsi="Arial" w:cs="Arial"/>
                                  <w:color w:val="336666"/>
                                  <w:sz w:val="24"/>
                                  <w:szCs w:val="24"/>
                                </w:rPr>
                              </w:pPr>
                            </w:p>
                            <w:p w14:paraId="6EADA723" w14:textId="77777777" w:rsidR="002F3C2D" w:rsidRDefault="002F3C2D" w:rsidP="002F3C2D">
                              <w:pPr>
                                <w:pStyle w:val="Heading3"/>
                                <w:spacing w:before="0" w:beforeAutospacing="0" w:after="75" w:afterAutospacing="0"/>
                                <w:rPr>
                                  <w:rFonts w:ascii="Arial" w:hAnsi="Arial" w:cs="Arial"/>
                                  <w:color w:val="336666"/>
                                  <w:sz w:val="24"/>
                                  <w:szCs w:val="24"/>
                                </w:rPr>
                              </w:pPr>
                            </w:p>
                            <w:p w14:paraId="05CFAA05" w14:textId="6ED14E16" w:rsidR="002F3C2D" w:rsidRDefault="002F3C2D" w:rsidP="002F3C2D">
                              <w:pPr>
                                <w:pStyle w:val="Heading3"/>
                                <w:spacing w:before="0" w:beforeAutospacing="0" w:after="75" w:afterAutospacing="0"/>
                                <w:rPr>
                                  <w:rFonts w:ascii="Arial" w:hAnsi="Arial" w:cs="Arial"/>
                                  <w:color w:val="336666"/>
                                  <w:sz w:val="24"/>
                                  <w:szCs w:val="24"/>
                                </w:rPr>
                              </w:pPr>
                              <w:r>
                                <w:rPr>
                                  <w:rFonts w:ascii="Arial" w:hAnsi="Arial" w:cs="Arial"/>
                                  <w:color w:val="336666"/>
                                  <w:sz w:val="24"/>
                                  <w:szCs w:val="24"/>
                                </w:rPr>
                                <w:lastRenderedPageBreak/>
                                <w:t>Stock Market Indexes</w:t>
                              </w:r>
                            </w:p>
                            <w:tbl>
                              <w:tblPr>
                                <w:tblW w:w="5000" w:type="pct"/>
                                <w:tblCellSpacing w:w="0" w:type="dxa"/>
                                <w:tblBorders>
                                  <w:top w:val="single" w:sz="6" w:space="0" w:color="336666"/>
                                </w:tblBorders>
                                <w:tblCellMar>
                                  <w:top w:w="150" w:type="dxa"/>
                                  <w:left w:w="45" w:type="dxa"/>
                                  <w:bottom w:w="45" w:type="dxa"/>
                                  <w:right w:w="45" w:type="dxa"/>
                                </w:tblCellMar>
                                <w:tblLook w:val="04A0" w:firstRow="1" w:lastRow="0" w:firstColumn="1" w:lastColumn="0" w:noHBand="0" w:noVBand="1"/>
                              </w:tblPr>
                              <w:tblGrid>
                                <w:gridCol w:w="2286"/>
                                <w:gridCol w:w="1414"/>
                                <w:gridCol w:w="1414"/>
                                <w:gridCol w:w="1414"/>
                                <w:gridCol w:w="1799"/>
                                <w:gridCol w:w="1333"/>
                              </w:tblGrid>
                              <w:tr w:rsidR="002F3C2D" w14:paraId="1E4D9F4A" w14:textId="77777777">
                                <w:trPr>
                                  <w:tblCellSpacing w:w="0" w:type="dxa"/>
                                </w:trPr>
                                <w:tc>
                                  <w:tcPr>
                                    <w:tcW w:w="0" w:type="auto"/>
                                    <w:hideMark/>
                                  </w:tcPr>
                                  <w:p w14:paraId="0ABA2EDA" w14:textId="77777777" w:rsidR="002F3C2D" w:rsidRDefault="002F3C2D" w:rsidP="002F3C2D">
                                    <w:pPr>
                                      <w:spacing w:before="150" w:after="150"/>
                                      <w:rPr>
                                        <w:rFonts w:ascii="Times New Roman" w:hAnsi="Times New Roman" w:cs="Times New Roman"/>
                                        <w:b/>
                                        <w:bCs/>
                                        <w:sz w:val="18"/>
                                        <w:szCs w:val="18"/>
                                      </w:rPr>
                                    </w:pPr>
                                    <w:r>
                                      <w:rPr>
                                        <w:b/>
                                        <w:bCs/>
                                        <w:sz w:val="18"/>
                                        <w:szCs w:val="18"/>
                                      </w:rPr>
                                      <w:t>Market/Index</w:t>
                                    </w:r>
                                  </w:p>
                                </w:tc>
                                <w:tc>
                                  <w:tcPr>
                                    <w:tcW w:w="0" w:type="auto"/>
                                    <w:hideMark/>
                                  </w:tcPr>
                                  <w:p w14:paraId="23A41B0B" w14:textId="77777777" w:rsidR="002F3C2D" w:rsidRDefault="002F3C2D" w:rsidP="002F3C2D">
                                    <w:pPr>
                                      <w:spacing w:before="150" w:after="150"/>
                                      <w:rPr>
                                        <w:b/>
                                        <w:bCs/>
                                        <w:sz w:val="18"/>
                                        <w:szCs w:val="18"/>
                                      </w:rPr>
                                    </w:pPr>
                                    <w:r>
                                      <w:rPr>
                                        <w:b/>
                                        <w:bCs/>
                                        <w:sz w:val="18"/>
                                        <w:szCs w:val="18"/>
                                      </w:rPr>
                                      <w:t>2024 Close</w:t>
                                    </w:r>
                                  </w:p>
                                </w:tc>
                                <w:tc>
                                  <w:tcPr>
                                    <w:tcW w:w="0" w:type="auto"/>
                                    <w:hideMark/>
                                  </w:tcPr>
                                  <w:p w14:paraId="69AE3129" w14:textId="77777777" w:rsidR="002F3C2D" w:rsidRDefault="002F3C2D" w:rsidP="002F3C2D">
                                    <w:pPr>
                                      <w:spacing w:before="150" w:after="150"/>
                                      <w:rPr>
                                        <w:b/>
                                        <w:bCs/>
                                        <w:sz w:val="18"/>
                                        <w:szCs w:val="18"/>
                                      </w:rPr>
                                    </w:pPr>
                                    <w:r>
                                      <w:rPr>
                                        <w:b/>
                                        <w:bCs/>
                                        <w:sz w:val="18"/>
                                        <w:szCs w:val="18"/>
                                      </w:rPr>
                                      <w:t>Prior Month</w:t>
                                    </w:r>
                                  </w:p>
                                </w:tc>
                                <w:tc>
                                  <w:tcPr>
                                    <w:tcW w:w="0" w:type="auto"/>
                                    <w:hideMark/>
                                  </w:tcPr>
                                  <w:p w14:paraId="5AA0ECA0" w14:textId="77777777" w:rsidR="002F3C2D" w:rsidRDefault="002F3C2D" w:rsidP="002F3C2D">
                                    <w:pPr>
                                      <w:spacing w:before="150" w:after="150"/>
                                      <w:rPr>
                                        <w:b/>
                                        <w:bCs/>
                                        <w:sz w:val="18"/>
                                        <w:szCs w:val="18"/>
                                      </w:rPr>
                                    </w:pPr>
                                    <w:r>
                                      <w:rPr>
                                        <w:b/>
                                        <w:bCs/>
                                        <w:sz w:val="18"/>
                                        <w:szCs w:val="18"/>
                                      </w:rPr>
                                      <w:t>As of 5/30</w:t>
                                    </w:r>
                                  </w:p>
                                </w:tc>
                                <w:tc>
                                  <w:tcPr>
                                    <w:tcW w:w="0" w:type="auto"/>
                                    <w:hideMark/>
                                  </w:tcPr>
                                  <w:p w14:paraId="6AA2A431" w14:textId="77777777" w:rsidR="002F3C2D" w:rsidRDefault="002F3C2D" w:rsidP="002F3C2D">
                                    <w:pPr>
                                      <w:spacing w:before="150" w:after="150"/>
                                      <w:rPr>
                                        <w:b/>
                                        <w:bCs/>
                                        <w:sz w:val="18"/>
                                        <w:szCs w:val="18"/>
                                      </w:rPr>
                                    </w:pPr>
                                    <w:r>
                                      <w:rPr>
                                        <w:b/>
                                        <w:bCs/>
                                        <w:sz w:val="18"/>
                                        <w:szCs w:val="18"/>
                                      </w:rPr>
                                      <w:t>Monthly Change</w:t>
                                    </w:r>
                                  </w:p>
                                </w:tc>
                                <w:tc>
                                  <w:tcPr>
                                    <w:tcW w:w="0" w:type="auto"/>
                                    <w:hideMark/>
                                  </w:tcPr>
                                  <w:p w14:paraId="7C81E57B" w14:textId="77777777" w:rsidR="002F3C2D" w:rsidRDefault="002F3C2D" w:rsidP="002F3C2D">
                                    <w:pPr>
                                      <w:spacing w:before="150" w:after="150"/>
                                      <w:rPr>
                                        <w:b/>
                                        <w:bCs/>
                                        <w:sz w:val="18"/>
                                        <w:szCs w:val="18"/>
                                      </w:rPr>
                                    </w:pPr>
                                    <w:r>
                                      <w:rPr>
                                        <w:b/>
                                        <w:bCs/>
                                        <w:sz w:val="18"/>
                                        <w:szCs w:val="18"/>
                                      </w:rPr>
                                      <w:t>YTD Change</w:t>
                                    </w:r>
                                  </w:p>
                                </w:tc>
                              </w:tr>
                              <w:tr w:rsidR="002F3C2D" w14:paraId="39BCB0F2" w14:textId="77777777">
                                <w:trPr>
                                  <w:tblCellSpacing w:w="0" w:type="dxa"/>
                                </w:trPr>
                                <w:tc>
                                  <w:tcPr>
                                    <w:tcW w:w="0" w:type="auto"/>
                                    <w:shd w:val="clear" w:color="auto" w:fill="DFE7E7"/>
                                    <w:hideMark/>
                                  </w:tcPr>
                                  <w:p w14:paraId="22E49A40" w14:textId="77777777" w:rsidR="002F3C2D" w:rsidRDefault="002F3C2D" w:rsidP="002F3C2D">
                                    <w:pPr>
                                      <w:spacing w:before="150" w:after="150"/>
                                      <w:rPr>
                                        <w:b/>
                                        <w:bCs/>
                                        <w:sz w:val="18"/>
                                        <w:szCs w:val="18"/>
                                      </w:rPr>
                                    </w:pPr>
                                    <w:r>
                                      <w:rPr>
                                        <w:b/>
                                        <w:bCs/>
                                        <w:sz w:val="18"/>
                                        <w:szCs w:val="18"/>
                                      </w:rPr>
                                      <w:t>DJIA</w:t>
                                    </w:r>
                                  </w:p>
                                </w:tc>
                                <w:tc>
                                  <w:tcPr>
                                    <w:tcW w:w="0" w:type="auto"/>
                                    <w:shd w:val="clear" w:color="auto" w:fill="DFE7E7"/>
                                    <w:hideMark/>
                                  </w:tcPr>
                                  <w:p w14:paraId="36FE3DDA" w14:textId="77777777" w:rsidR="002F3C2D" w:rsidRDefault="002F3C2D" w:rsidP="002F3C2D">
                                    <w:pPr>
                                      <w:spacing w:before="150" w:after="150"/>
                                      <w:rPr>
                                        <w:sz w:val="18"/>
                                        <w:szCs w:val="18"/>
                                      </w:rPr>
                                    </w:pPr>
                                    <w:r>
                                      <w:rPr>
                                        <w:sz w:val="18"/>
                                        <w:szCs w:val="18"/>
                                      </w:rPr>
                                      <w:t>42,544.22</w:t>
                                    </w:r>
                                  </w:p>
                                </w:tc>
                                <w:tc>
                                  <w:tcPr>
                                    <w:tcW w:w="0" w:type="auto"/>
                                    <w:shd w:val="clear" w:color="auto" w:fill="DFE7E7"/>
                                    <w:hideMark/>
                                  </w:tcPr>
                                  <w:p w14:paraId="52979B4D" w14:textId="77777777" w:rsidR="002F3C2D" w:rsidRDefault="002F3C2D" w:rsidP="002F3C2D">
                                    <w:pPr>
                                      <w:spacing w:before="150" w:after="150"/>
                                      <w:rPr>
                                        <w:sz w:val="18"/>
                                        <w:szCs w:val="18"/>
                                      </w:rPr>
                                    </w:pPr>
                                    <w:r>
                                      <w:rPr>
                                        <w:sz w:val="18"/>
                                        <w:szCs w:val="18"/>
                                      </w:rPr>
                                      <w:t>40,669.36</w:t>
                                    </w:r>
                                  </w:p>
                                </w:tc>
                                <w:tc>
                                  <w:tcPr>
                                    <w:tcW w:w="0" w:type="auto"/>
                                    <w:shd w:val="clear" w:color="auto" w:fill="DFE7E7"/>
                                    <w:hideMark/>
                                  </w:tcPr>
                                  <w:p w14:paraId="1D2DC146" w14:textId="77777777" w:rsidR="002F3C2D" w:rsidRDefault="002F3C2D" w:rsidP="002F3C2D">
                                    <w:pPr>
                                      <w:spacing w:before="150" w:after="150"/>
                                      <w:rPr>
                                        <w:sz w:val="18"/>
                                        <w:szCs w:val="18"/>
                                      </w:rPr>
                                    </w:pPr>
                                    <w:r>
                                      <w:rPr>
                                        <w:sz w:val="18"/>
                                        <w:szCs w:val="18"/>
                                      </w:rPr>
                                      <w:t>42,270.07</w:t>
                                    </w:r>
                                  </w:p>
                                </w:tc>
                                <w:tc>
                                  <w:tcPr>
                                    <w:tcW w:w="0" w:type="auto"/>
                                    <w:shd w:val="clear" w:color="auto" w:fill="DFE7E7"/>
                                    <w:hideMark/>
                                  </w:tcPr>
                                  <w:p w14:paraId="7F5C6E45" w14:textId="77777777" w:rsidR="002F3C2D" w:rsidRDefault="002F3C2D" w:rsidP="002F3C2D">
                                    <w:pPr>
                                      <w:spacing w:before="150" w:after="150"/>
                                      <w:rPr>
                                        <w:sz w:val="18"/>
                                        <w:szCs w:val="18"/>
                                      </w:rPr>
                                    </w:pPr>
                                    <w:r>
                                      <w:rPr>
                                        <w:sz w:val="18"/>
                                        <w:szCs w:val="18"/>
                                      </w:rPr>
                                      <w:t>3.94%</w:t>
                                    </w:r>
                                  </w:p>
                                </w:tc>
                                <w:tc>
                                  <w:tcPr>
                                    <w:tcW w:w="0" w:type="auto"/>
                                    <w:shd w:val="clear" w:color="auto" w:fill="DFE7E7"/>
                                    <w:hideMark/>
                                  </w:tcPr>
                                  <w:p w14:paraId="17FF5716" w14:textId="77777777" w:rsidR="002F3C2D" w:rsidRDefault="002F3C2D" w:rsidP="002F3C2D">
                                    <w:pPr>
                                      <w:spacing w:before="150" w:after="150"/>
                                      <w:rPr>
                                        <w:sz w:val="18"/>
                                        <w:szCs w:val="18"/>
                                      </w:rPr>
                                    </w:pPr>
                                    <w:r>
                                      <w:rPr>
                                        <w:sz w:val="18"/>
                                        <w:szCs w:val="18"/>
                                      </w:rPr>
                                      <w:t>-0.64%</w:t>
                                    </w:r>
                                  </w:p>
                                </w:tc>
                              </w:tr>
                              <w:tr w:rsidR="002F3C2D" w14:paraId="3472862E" w14:textId="77777777">
                                <w:trPr>
                                  <w:tblCellSpacing w:w="0" w:type="dxa"/>
                                </w:trPr>
                                <w:tc>
                                  <w:tcPr>
                                    <w:tcW w:w="0" w:type="auto"/>
                                    <w:hideMark/>
                                  </w:tcPr>
                                  <w:p w14:paraId="16DD1878" w14:textId="77777777" w:rsidR="002F3C2D" w:rsidRDefault="002F3C2D" w:rsidP="002F3C2D">
                                    <w:pPr>
                                      <w:spacing w:before="150" w:after="150"/>
                                      <w:rPr>
                                        <w:b/>
                                        <w:bCs/>
                                        <w:sz w:val="18"/>
                                        <w:szCs w:val="18"/>
                                      </w:rPr>
                                    </w:pPr>
                                    <w:r>
                                      <w:rPr>
                                        <w:b/>
                                        <w:bCs/>
                                        <w:sz w:val="18"/>
                                        <w:szCs w:val="18"/>
                                      </w:rPr>
                                      <w:t>NASDAQ</w:t>
                                    </w:r>
                                  </w:p>
                                </w:tc>
                                <w:tc>
                                  <w:tcPr>
                                    <w:tcW w:w="0" w:type="auto"/>
                                    <w:hideMark/>
                                  </w:tcPr>
                                  <w:p w14:paraId="3B00844B" w14:textId="77777777" w:rsidR="002F3C2D" w:rsidRDefault="002F3C2D" w:rsidP="002F3C2D">
                                    <w:pPr>
                                      <w:spacing w:before="150" w:after="150"/>
                                      <w:rPr>
                                        <w:sz w:val="18"/>
                                        <w:szCs w:val="18"/>
                                      </w:rPr>
                                    </w:pPr>
                                    <w:r>
                                      <w:rPr>
                                        <w:sz w:val="18"/>
                                        <w:szCs w:val="18"/>
                                      </w:rPr>
                                      <w:t>19,310.79</w:t>
                                    </w:r>
                                  </w:p>
                                </w:tc>
                                <w:tc>
                                  <w:tcPr>
                                    <w:tcW w:w="0" w:type="auto"/>
                                    <w:hideMark/>
                                  </w:tcPr>
                                  <w:p w14:paraId="1DDFFCC7" w14:textId="77777777" w:rsidR="002F3C2D" w:rsidRDefault="002F3C2D" w:rsidP="002F3C2D">
                                    <w:pPr>
                                      <w:spacing w:before="150" w:after="150"/>
                                      <w:rPr>
                                        <w:sz w:val="18"/>
                                        <w:szCs w:val="18"/>
                                      </w:rPr>
                                    </w:pPr>
                                    <w:r>
                                      <w:rPr>
                                        <w:sz w:val="18"/>
                                        <w:szCs w:val="18"/>
                                      </w:rPr>
                                      <w:t>17,446.34</w:t>
                                    </w:r>
                                  </w:p>
                                </w:tc>
                                <w:tc>
                                  <w:tcPr>
                                    <w:tcW w:w="0" w:type="auto"/>
                                    <w:hideMark/>
                                  </w:tcPr>
                                  <w:p w14:paraId="34F1155E" w14:textId="77777777" w:rsidR="002F3C2D" w:rsidRDefault="002F3C2D" w:rsidP="002F3C2D">
                                    <w:pPr>
                                      <w:spacing w:before="150" w:after="150"/>
                                      <w:rPr>
                                        <w:sz w:val="18"/>
                                        <w:szCs w:val="18"/>
                                      </w:rPr>
                                    </w:pPr>
                                    <w:r>
                                      <w:rPr>
                                        <w:sz w:val="18"/>
                                        <w:szCs w:val="18"/>
                                      </w:rPr>
                                      <w:t>19,113.77</w:t>
                                    </w:r>
                                  </w:p>
                                </w:tc>
                                <w:tc>
                                  <w:tcPr>
                                    <w:tcW w:w="0" w:type="auto"/>
                                    <w:hideMark/>
                                  </w:tcPr>
                                  <w:p w14:paraId="1FCD7E08" w14:textId="77777777" w:rsidR="002F3C2D" w:rsidRDefault="002F3C2D" w:rsidP="002F3C2D">
                                    <w:pPr>
                                      <w:spacing w:before="150" w:after="150"/>
                                      <w:rPr>
                                        <w:sz w:val="18"/>
                                        <w:szCs w:val="18"/>
                                      </w:rPr>
                                    </w:pPr>
                                    <w:r>
                                      <w:rPr>
                                        <w:sz w:val="18"/>
                                        <w:szCs w:val="18"/>
                                      </w:rPr>
                                      <w:t>9.56%</w:t>
                                    </w:r>
                                  </w:p>
                                </w:tc>
                                <w:tc>
                                  <w:tcPr>
                                    <w:tcW w:w="0" w:type="auto"/>
                                    <w:hideMark/>
                                  </w:tcPr>
                                  <w:p w14:paraId="2968CC4E" w14:textId="77777777" w:rsidR="002F3C2D" w:rsidRDefault="002F3C2D" w:rsidP="002F3C2D">
                                    <w:pPr>
                                      <w:spacing w:before="150" w:after="150"/>
                                      <w:rPr>
                                        <w:sz w:val="18"/>
                                        <w:szCs w:val="18"/>
                                      </w:rPr>
                                    </w:pPr>
                                    <w:r>
                                      <w:rPr>
                                        <w:sz w:val="18"/>
                                        <w:szCs w:val="18"/>
                                      </w:rPr>
                                      <w:t>-1.02%</w:t>
                                    </w:r>
                                  </w:p>
                                </w:tc>
                              </w:tr>
                              <w:tr w:rsidR="002F3C2D" w14:paraId="22B3800C" w14:textId="77777777">
                                <w:trPr>
                                  <w:tblCellSpacing w:w="0" w:type="dxa"/>
                                </w:trPr>
                                <w:tc>
                                  <w:tcPr>
                                    <w:tcW w:w="0" w:type="auto"/>
                                    <w:shd w:val="clear" w:color="auto" w:fill="DFE7E7"/>
                                    <w:hideMark/>
                                  </w:tcPr>
                                  <w:p w14:paraId="2892753E" w14:textId="77777777" w:rsidR="002F3C2D" w:rsidRDefault="002F3C2D" w:rsidP="002F3C2D">
                                    <w:pPr>
                                      <w:spacing w:before="150" w:after="150"/>
                                      <w:rPr>
                                        <w:b/>
                                        <w:bCs/>
                                        <w:sz w:val="18"/>
                                        <w:szCs w:val="18"/>
                                      </w:rPr>
                                    </w:pPr>
                                    <w:r>
                                      <w:rPr>
                                        <w:b/>
                                        <w:bCs/>
                                        <w:sz w:val="18"/>
                                        <w:szCs w:val="18"/>
                                      </w:rPr>
                                      <w:t>S&amp;P 500</w:t>
                                    </w:r>
                                  </w:p>
                                </w:tc>
                                <w:tc>
                                  <w:tcPr>
                                    <w:tcW w:w="0" w:type="auto"/>
                                    <w:shd w:val="clear" w:color="auto" w:fill="DFE7E7"/>
                                    <w:hideMark/>
                                  </w:tcPr>
                                  <w:p w14:paraId="15A89FE5" w14:textId="77777777" w:rsidR="002F3C2D" w:rsidRDefault="002F3C2D" w:rsidP="002F3C2D">
                                    <w:pPr>
                                      <w:spacing w:before="150" w:after="150"/>
                                      <w:rPr>
                                        <w:sz w:val="18"/>
                                        <w:szCs w:val="18"/>
                                      </w:rPr>
                                    </w:pPr>
                                    <w:r>
                                      <w:rPr>
                                        <w:sz w:val="18"/>
                                        <w:szCs w:val="18"/>
                                      </w:rPr>
                                      <w:t>5,881.63</w:t>
                                    </w:r>
                                  </w:p>
                                </w:tc>
                                <w:tc>
                                  <w:tcPr>
                                    <w:tcW w:w="0" w:type="auto"/>
                                    <w:shd w:val="clear" w:color="auto" w:fill="DFE7E7"/>
                                    <w:hideMark/>
                                  </w:tcPr>
                                  <w:p w14:paraId="010ADBE7" w14:textId="77777777" w:rsidR="002F3C2D" w:rsidRDefault="002F3C2D" w:rsidP="002F3C2D">
                                    <w:pPr>
                                      <w:spacing w:before="150" w:after="150"/>
                                      <w:rPr>
                                        <w:sz w:val="18"/>
                                        <w:szCs w:val="18"/>
                                      </w:rPr>
                                    </w:pPr>
                                    <w:r>
                                      <w:rPr>
                                        <w:sz w:val="18"/>
                                        <w:szCs w:val="18"/>
                                      </w:rPr>
                                      <w:t>5,569.06</w:t>
                                    </w:r>
                                  </w:p>
                                </w:tc>
                                <w:tc>
                                  <w:tcPr>
                                    <w:tcW w:w="0" w:type="auto"/>
                                    <w:shd w:val="clear" w:color="auto" w:fill="DFE7E7"/>
                                    <w:hideMark/>
                                  </w:tcPr>
                                  <w:p w14:paraId="18A2D9E1" w14:textId="77777777" w:rsidR="002F3C2D" w:rsidRDefault="002F3C2D" w:rsidP="002F3C2D">
                                    <w:pPr>
                                      <w:spacing w:before="150" w:after="150"/>
                                      <w:rPr>
                                        <w:sz w:val="18"/>
                                        <w:szCs w:val="18"/>
                                      </w:rPr>
                                    </w:pPr>
                                    <w:r>
                                      <w:rPr>
                                        <w:sz w:val="18"/>
                                        <w:szCs w:val="18"/>
                                      </w:rPr>
                                      <w:t>5,911.69</w:t>
                                    </w:r>
                                  </w:p>
                                </w:tc>
                                <w:tc>
                                  <w:tcPr>
                                    <w:tcW w:w="0" w:type="auto"/>
                                    <w:shd w:val="clear" w:color="auto" w:fill="DFE7E7"/>
                                    <w:hideMark/>
                                  </w:tcPr>
                                  <w:p w14:paraId="3A8D3F9E" w14:textId="77777777" w:rsidR="002F3C2D" w:rsidRDefault="002F3C2D" w:rsidP="002F3C2D">
                                    <w:pPr>
                                      <w:spacing w:before="150" w:after="150"/>
                                      <w:rPr>
                                        <w:sz w:val="18"/>
                                        <w:szCs w:val="18"/>
                                      </w:rPr>
                                    </w:pPr>
                                    <w:r>
                                      <w:rPr>
                                        <w:sz w:val="18"/>
                                        <w:szCs w:val="18"/>
                                      </w:rPr>
                                      <w:t>6.15%</w:t>
                                    </w:r>
                                  </w:p>
                                </w:tc>
                                <w:tc>
                                  <w:tcPr>
                                    <w:tcW w:w="0" w:type="auto"/>
                                    <w:shd w:val="clear" w:color="auto" w:fill="DFE7E7"/>
                                    <w:hideMark/>
                                  </w:tcPr>
                                  <w:p w14:paraId="57CE5C30" w14:textId="77777777" w:rsidR="002F3C2D" w:rsidRDefault="002F3C2D" w:rsidP="002F3C2D">
                                    <w:pPr>
                                      <w:spacing w:before="150" w:after="150"/>
                                      <w:rPr>
                                        <w:sz w:val="18"/>
                                        <w:szCs w:val="18"/>
                                      </w:rPr>
                                    </w:pPr>
                                    <w:r>
                                      <w:rPr>
                                        <w:sz w:val="18"/>
                                        <w:szCs w:val="18"/>
                                      </w:rPr>
                                      <w:t>0.51%</w:t>
                                    </w:r>
                                  </w:p>
                                </w:tc>
                              </w:tr>
                              <w:tr w:rsidR="002F3C2D" w14:paraId="6521E762" w14:textId="77777777">
                                <w:trPr>
                                  <w:tblCellSpacing w:w="0" w:type="dxa"/>
                                </w:trPr>
                                <w:tc>
                                  <w:tcPr>
                                    <w:tcW w:w="0" w:type="auto"/>
                                    <w:hideMark/>
                                  </w:tcPr>
                                  <w:p w14:paraId="5B440155" w14:textId="77777777" w:rsidR="002F3C2D" w:rsidRDefault="002F3C2D" w:rsidP="002F3C2D">
                                    <w:pPr>
                                      <w:spacing w:before="150" w:after="150"/>
                                      <w:rPr>
                                        <w:b/>
                                        <w:bCs/>
                                        <w:sz w:val="18"/>
                                        <w:szCs w:val="18"/>
                                      </w:rPr>
                                    </w:pPr>
                                    <w:r>
                                      <w:rPr>
                                        <w:b/>
                                        <w:bCs/>
                                        <w:sz w:val="18"/>
                                        <w:szCs w:val="18"/>
                                      </w:rPr>
                                      <w:t>Russell 2000</w:t>
                                    </w:r>
                                  </w:p>
                                </w:tc>
                                <w:tc>
                                  <w:tcPr>
                                    <w:tcW w:w="0" w:type="auto"/>
                                    <w:hideMark/>
                                  </w:tcPr>
                                  <w:p w14:paraId="5AF403D4" w14:textId="77777777" w:rsidR="002F3C2D" w:rsidRDefault="002F3C2D" w:rsidP="002F3C2D">
                                    <w:pPr>
                                      <w:spacing w:before="150" w:after="150"/>
                                      <w:rPr>
                                        <w:sz w:val="18"/>
                                        <w:szCs w:val="18"/>
                                      </w:rPr>
                                    </w:pPr>
                                    <w:r>
                                      <w:rPr>
                                        <w:sz w:val="18"/>
                                        <w:szCs w:val="18"/>
                                      </w:rPr>
                                      <w:t>2,230.16</w:t>
                                    </w:r>
                                  </w:p>
                                </w:tc>
                                <w:tc>
                                  <w:tcPr>
                                    <w:tcW w:w="0" w:type="auto"/>
                                    <w:hideMark/>
                                  </w:tcPr>
                                  <w:p w14:paraId="5E43AFB6" w14:textId="77777777" w:rsidR="002F3C2D" w:rsidRDefault="002F3C2D" w:rsidP="002F3C2D">
                                    <w:pPr>
                                      <w:spacing w:before="150" w:after="150"/>
                                      <w:rPr>
                                        <w:sz w:val="18"/>
                                        <w:szCs w:val="18"/>
                                      </w:rPr>
                                    </w:pPr>
                                    <w:r>
                                      <w:rPr>
                                        <w:sz w:val="18"/>
                                        <w:szCs w:val="18"/>
                                      </w:rPr>
                                      <w:t>1,964.12</w:t>
                                    </w:r>
                                  </w:p>
                                </w:tc>
                                <w:tc>
                                  <w:tcPr>
                                    <w:tcW w:w="0" w:type="auto"/>
                                    <w:hideMark/>
                                  </w:tcPr>
                                  <w:p w14:paraId="65B8AED5" w14:textId="77777777" w:rsidR="002F3C2D" w:rsidRDefault="002F3C2D" w:rsidP="002F3C2D">
                                    <w:pPr>
                                      <w:spacing w:before="150" w:after="150"/>
                                      <w:rPr>
                                        <w:sz w:val="18"/>
                                        <w:szCs w:val="18"/>
                                      </w:rPr>
                                    </w:pPr>
                                    <w:r>
                                      <w:rPr>
                                        <w:sz w:val="18"/>
                                        <w:szCs w:val="18"/>
                                      </w:rPr>
                                      <w:t>2,066.29</w:t>
                                    </w:r>
                                  </w:p>
                                </w:tc>
                                <w:tc>
                                  <w:tcPr>
                                    <w:tcW w:w="0" w:type="auto"/>
                                    <w:hideMark/>
                                  </w:tcPr>
                                  <w:p w14:paraId="791819C9" w14:textId="77777777" w:rsidR="002F3C2D" w:rsidRDefault="002F3C2D" w:rsidP="002F3C2D">
                                    <w:pPr>
                                      <w:spacing w:before="150" w:after="150"/>
                                      <w:rPr>
                                        <w:sz w:val="18"/>
                                        <w:szCs w:val="18"/>
                                      </w:rPr>
                                    </w:pPr>
                                    <w:r>
                                      <w:rPr>
                                        <w:sz w:val="18"/>
                                        <w:szCs w:val="18"/>
                                      </w:rPr>
                                      <w:t>5.20%</w:t>
                                    </w:r>
                                  </w:p>
                                </w:tc>
                                <w:tc>
                                  <w:tcPr>
                                    <w:tcW w:w="0" w:type="auto"/>
                                    <w:hideMark/>
                                  </w:tcPr>
                                  <w:p w14:paraId="2CA23041" w14:textId="77777777" w:rsidR="002F3C2D" w:rsidRDefault="002F3C2D" w:rsidP="002F3C2D">
                                    <w:pPr>
                                      <w:spacing w:before="150" w:after="150"/>
                                      <w:rPr>
                                        <w:sz w:val="18"/>
                                        <w:szCs w:val="18"/>
                                      </w:rPr>
                                    </w:pPr>
                                    <w:r>
                                      <w:rPr>
                                        <w:sz w:val="18"/>
                                        <w:szCs w:val="18"/>
                                      </w:rPr>
                                      <w:t>-7.35%</w:t>
                                    </w:r>
                                  </w:p>
                                </w:tc>
                              </w:tr>
                              <w:tr w:rsidR="002F3C2D" w14:paraId="6418E4DF" w14:textId="77777777">
                                <w:trPr>
                                  <w:tblCellSpacing w:w="0" w:type="dxa"/>
                                </w:trPr>
                                <w:tc>
                                  <w:tcPr>
                                    <w:tcW w:w="0" w:type="auto"/>
                                    <w:shd w:val="clear" w:color="auto" w:fill="DFE7E7"/>
                                    <w:hideMark/>
                                  </w:tcPr>
                                  <w:p w14:paraId="60B6762A" w14:textId="77777777" w:rsidR="002F3C2D" w:rsidRDefault="002F3C2D" w:rsidP="002F3C2D">
                                    <w:pPr>
                                      <w:spacing w:before="150" w:after="150"/>
                                      <w:rPr>
                                        <w:b/>
                                        <w:bCs/>
                                        <w:sz w:val="18"/>
                                        <w:szCs w:val="18"/>
                                      </w:rPr>
                                    </w:pPr>
                                    <w:r>
                                      <w:rPr>
                                        <w:b/>
                                        <w:bCs/>
                                        <w:sz w:val="18"/>
                                        <w:szCs w:val="18"/>
                                      </w:rPr>
                                      <w:t>Global Dow</w:t>
                                    </w:r>
                                  </w:p>
                                </w:tc>
                                <w:tc>
                                  <w:tcPr>
                                    <w:tcW w:w="0" w:type="auto"/>
                                    <w:shd w:val="clear" w:color="auto" w:fill="DFE7E7"/>
                                    <w:hideMark/>
                                  </w:tcPr>
                                  <w:p w14:paraId="52E001BF" w14:textId="77777777" w:rsidR="002F3C2D" w:rsidRDefault="002F3C2D" w:rsidP="002F3C2D">
                                    <w:pPr>
                                      <w:spacing w:before="150" w:after="150"/>
                                      <w:rPr>
                                        <w:sz w:val="18"/>
                                        <w:szCs w:val="18"/>
                                      </w:rPr>
                                    </w:pPr>
                                    <w:r>
                                      <w:rPr>
                                        <w:sz w:val="18"/>
                                        <w:szCs w:val="18"/>
                                      </w:rPr>
                                      <w:t>4,863.01</w:t>
                                    </w:r>
                                  </w:p>
                                </w:tc>
                                <w:tc>
                                  <w:tcPr>
                                    <w:tcW w:w="0" w:type="auto"/>
                                    <w:shd w:val="clear" w:color="auto" w:fill="DFE7E7"/>
                                    <w:hideMark/>
                                  </w:tcPr>
                                  <w:p w14:paraId="76AFEA14" w14:textId="77777777" w:rsidR="002F3C2D" w:rsidRDefault="002F3C2D" w:rsidP="002F3C2D">
                                    <w:pPr>
                                      <w:spacing w:before="150" w:after="150"/>
                                      <w:rPr>
                                        <w:sz w:val="18"/>
                                        <w:szCs w:val="18"/>
                                      </w:rPr>
                                    </w:pPr>
                                    <w:r>
                                      <w:rPr>
                                        <w:sz w:val="18"/>
                                        <w:szCs w:val="18"/>
                                      </w:rPr>
                                      <w:t>5,089.85</w:t>
                                    </w:r>
                                  </w:p>
                                </w:tc>
                                <w:tc>
                                  <w:tcPr>
                                    <w:tcW w:w="0" w:type="auto"/>
                                    <w:shd w:val="clear" w:color="auto" w:fill="DFE7E7"/>
                                    <w:hideMark/>
                                  </w:tcPr>
                                  <w:p w14:paraId="55B3FE78" w14:textId="77777777" w:rsidR="002F3C2D" w:rsidRDefault="002F3C2D" w:rsidP="002F3C2D">
                                    <w:pPr>
                                      <w:spacing w:before="150" w:after="150"/>
                                      <w:rPr>
                                        <w:sz w:val="18"/>
                                        <w:szCs w:val="18"/>
                                      </w:rPr>
                                    </w:pPr>
                                    <w:r>
                                      <w:rPr>
                                        <w:sz w:val="18"/>
                                        <w:szCs w:val="18"/>
                                      </w:rPr>
                                      <w:t>5,326.27</w:t>
                                    </w:r>
                                  </w:p>
                                </w:tc>
                                <w:tc>
                                  <w:tcPr>
                                    <w:tcW w:w="0" w:type="auto"/>
                                    <w:shd w:val="clear" w:color="auto" w:fill="DFE7E7"/>
                                    <w:hideMark/>
                                  </w:tcPr>
                                  <w:p w14:paraId="75362F83" w14:textId="77777777" w:rsidR="002F3C2D" w:rsidRDefault="002F3C2D" w:rsidP="002F3C2D">
                                    <w:pPr>
                                      <w:spacing w:before="150" w:after="150"/>
                                      <w:rPr>
                                        <w:sz w:val="18"/>
                                        <w:szCs w:val="18"/>
                                      </w:rPr>
                                    </w:pPr>
                                    <w:r>
                                      <w:rPr>
                                        <w:sz w:val="18"/>
                                        <w:szCs w:val="18"/>
                                      </w:rPr>
                                      <w:t>4.64%</w:t>
                                    </w:r>
                                  </w:p>
                                </w:tc>
                                <w:tc>
                                  <w:tcPr>
                                    <w:tcW w:w="0" w:type="auto"/>
                                    <w:shd w:val="clear" w:color="auto" w:fill="DFE7E7"/>
                                    <w:hideMark/>
                                  </w:tcPr>
                                  <w:p w14:paraId="3AC9A056" w14:textId="77777777" w:rsidR="002F3C2D" w:rsidRDefault="002F3C2D" w:rsidP="002F3C2D">
                                    <w:pPr>
                                      <w:spacing w:before="150" w:after="150"/>
                                      <w:rPr>
                                        <w:sz w:val="18"/>
                                        <w:szCs w:val="18"/>
                                      </w:rPr>
                                    </w:pPr>
                                    <w:r>
                                      <w:rPr>
                                        <w:sz w:val="18"/>
                                        <w:szCs w:val="18"/>
                                      </w:rPr>
                                      <w:t>9.53%</w:t>
                                    </w:r>
                                  </w:p>
                                </w:tc>
                              </w:tr>
                              <w:tr w:rsidR="002F3C2D" w14:paraId="22120B22" w14:textId="77777777">
                                <w:trPr>
                                  <w:tblCellSpacing w:w="0" w:type="dxa"/>
                                </w:trPr>
                                <w:tc>
                                  <w:tcPr>
                                    <w:tcW w:w="0" w:type="auto"/>
                                    <w:hideMark/>
                                  </w:tcPr>
                                  <w:p w14:paraId="2A1132DA" w14:textId="77777777" w:rsidR="002F3C2D" w:rsidRDefault="002F3C2D" w:rsidP="002F3C2D">
                                    <w:pPr>
                                      <w:spacing w:before="150" w:after="150"/>
                                      <w:rPr>
                                        <w:b/>
                                        <w:bCs/>
                                        <w:sz w:val="18"/>
                                        <w:szCs w:val="18"/>
                                      </w:rPr>
                                    </w:pPr>
                                    <w:r>
                                      <w:rPr>
                                        <w:b/>
                                        <w:bCs/>
                                        <w:sz w:val="18"/>
                                        <w:szCs w:val="18"/>
                                      </w:rPr>
                                      <w:t>fed. funds target rate</w:t>
                                    </w:r>
                                  </w:p>
                                </w:tc>
                                <w:tc>
                                  <w:tcPr>
                                    <w:tcW w:w="0" w:type="auto"/>
                                    <w:hideMark/>
                                  </w:tcPr>
                                  <w:p w14:paraId="70D8A7FD" w14:textId="77777777" w:rsidR="002F3C2D" w:rsidRDefault="002F3C2D" w:rsidP="002F3C2D">
                                    <w:pPr>
                                      <w:spacing w:before="150" w:after="150"/>
                                      <w:rPr>
                                        <w:sz w:val="18"/>
                                        <w:szCs w:val="18"/>
                                      </w:rPr>
                                    </w:pPr>
                                    <w:r>
                                      <w:rPr>
                                        <w:sz w:val="18"/>
                                        <w:szCs w:val="18"/>
                                      </w:rPr>
                                      <w:t>4.25%-4.50%</w:t>
                                    </w:r>
                                  </w:p>
                                </w:tc>
                                <w:tc>
                                  <w:tcPr>
                                    <w:tcW w:w="0" w:type="auto"/>
                                    <w:hideMark/>
                                  </w:tcPr>
                                  <w:p w14:paraId="42B18A19" w14:textId="77777777" w:rsidR="002F3C2D" w:rsidRDefault="002F3C2D" w:rsidP="002F3C2D">
                                    <w:pPr>
                                      <w:spacing w:before="150" w:after="150"/>
                                      <w:rPr>
                                        <w:sz w:val="18"/>
                                        <w:szCs w:val="18"/>
                                      </w:rPr>
                                    </w:pPr>
                                    <w:r>
                                      <w:rPr>
                                        <w:sz w:val="18"/>
                                        <w:szCs w:val="18"/>
                                      </w:rPr>
                                      <w:t>4.25%-4.50%</w:t>
                                    </w:r>
                                  </w:p>
                                </w:tc>
                                <w:tc>
                                  <w:tcPr>
                                    <w:tcW w:w="0" w:type="auto"/>
                                    <w:hideMark/>
                                  </w:tcPr>
                                  <w:p w14:paraId="300BBE38" w14:textId="77777777" w:rsidR="002F3C2D" w:rsidRDefault="002F3C2D" w:rsidP="002F3C2D">
                                    <w:pPr>
                                      <w:spacing w:before="150" w:after="150"/>
                                      <w:rPr>
                                        <w:sz w:val="18"/>
                                        <w:szCs w:val="18"/>
                                      </w:rPr>
                                    </w:pPr>
                                    <w:r>
                                      <w:rPr>
                                        <w:sz w:val="18"/>
                                        <w:szCs w:val="18"/>
                                      </w:rPr>
                                      <w:t>4.25%-4.50%</w:t>
                                    </w:r>
                                  </w:p>
                                </w:tc>
                                <w:tc>
                                  <w:tcPr>
                                    <w:tcW w:w="0" w:type="auto"/>
                                    <w:hideMark/>
                                  </w:tcPr>
                                  <w:p w14:paraId="4D8D3BB7" w14:textId="77777777" w:rsidR="002F3C2D" w:rsidRDefault="002F3C2D" w:rsidP="002F3C2D">
                                    <w:pPr>
                                      <w:spacing w:before="150" w:after="150"/>
                                      <w:rPr>
                                        <w:sz w:val="18"/>
                                        <w:szCs w:val="18"/>
                                      </w:rPr>
                                    </w:pPr>
                                    <w:r>
                                      <w:rPr>
                                        <w:sz w:val="18"/>
                                        <w:szCs w:val="18"/>
                                      </w:rPr>
                                      <w:t>0 bps</w:t>
                                    </w:r>
                                  </w:p>
                                </w:tc>
                                <w:tc>
                                  <w:tcPr>
                                    <w:tcW w:w="0" w:type="auto"/>
                                    <w:hideMark/>
                                  </w:tcPr>
                                  <w:p w14:paraId="3E38BF5C" w14:textId="77777777" w:rsidR="002F3C2D" w:rsidRDefault="002F3C2D" w:rsidP="002F3C2D">
                                    <w:pPr>
                                      <w:spacing w:before="150" w:after="150"/>
                                      <w:rPr>
                                        <w:sz w:val="18"/>
                                        <w:szCs w:val="18"/>
                                      </w:rPr>
                                    </w:pPr>
                                    <w:r>
                                      <w:rPr>
                                        <w:sz w:val="18"/>
                                        <w:szCs w:val="18"/>
                                      </w:rPr>
                                      <w:t>0 bps</w:t>
                                    </w:r>
                                  </w:p>
                                </w:tc>
                              </w:tr>
                              <w:tr w:rsidR="002F3C2D" w14:paraId="20D445E8" w14:textId="77777777">
                                <w:trPr>
                                  <w:tblCellSpacing w:w="0" w:type="dxa"/>
                                </w:trPr>
                                <w:tc>
                                  <w:tcPr>
                                    <w:tcW w:w="0" w:type="auto"/>
                                    <w:shd w:val="clear" w:color="auto" w:fill="DFE7E7"/>
                                    <w:hideMark/>
                                  </w:tcPr>
                                  <w:p w14:paraId="2941E19B" w14:textId="77777777" w:rsidR="002F3C2D" w:rsidRDefault="002F3C2D" w:rsidP="002F3C2D">
                                    <w:pPr>
                                      <w:spacing w:before="150" w:after="150"/>
                                      <w:rPr>
                                        <w:b/>
                                        <w:bCs/>
                                        <w:sz w:val="18"/>
                                        <w:szCs w:val="18"/>
                                      </w:rPr>
                                    </w:pPr>
                                    <w:r>
                                      <w:rPr>
                                        <w:b/>
                                        <w:bCs/>
                                        <w:sz w:val="18"/>
                                        <w:szCs w:val="18"/>
                                      </w:rPr>
                                      <w:t>10-year Treasuries</w:t>
                                    </w:r>
                                  </w:p>
                                </w:tc>
                                <w:tc>
                                  <w:tcPr>
                                    <w:tcW w:w="0" w:type="auto"/>
                                    <w:shd w:val="clear" w:color="auto" w:fill="DFE7E7"/>
                                    <w:hideMark/>
                                  </w:tcPr>
                                  <w:p w14:paraId="5F78D15F" w14:textId="77777777" w:rsidR="002F3C2D" w:rsidRDefault="002F3C2D" w:rsidP="002F3C2D">
                                    <w:pPr>
                                      <w:spacing w:before="150" w:after="150"/>
                                      <w:rPr>
                                        <w:sz w:val="18"/>
                                        <w:szCs w:val="18"/>
                                      </w:rPr>
                                    </w:pPr>
                                    <w:r>
                                      <w:rPr>
                                        <w:sz w:val="18"/>
                                        <w:szCs w:val="18"/>
                                      </w:rPr>
                                      <w:t>4.57%</w:t>
                                    </w:r>
                                  </w:p>
                                </w:tc>
                                <w:tc>
                                  <w:tcPr>
                                    <w:tcW w:w="0" w:type="auto"/>
                                    <w:shd w:val="clear" w:color="auto" w:fill="DFE7E7"/>
                                    <w:hideMark/>
                                  </w:tcPr>
                                  <w:p w14:paraId="39051017" w14:textId="77777777" w:rsidR="002F3C2D" w:rsidRDefault="002F3C2D" w:rsidP="002F3C2D">
                                    <w:pPr>
                                      <w:spacing w:before="150" w:after="150"/>
                                      <w:rPr>
                                        <w:sz w:val="18"/>
                                        <w:szCs w:val="18"/>
                                      </w:rPr>
                                    </w:pPr>
                                    <w:r>
                                      <w:rPr>
                                        <w:sz w:val="18"/>
                                        <w:szCs w:val="18"/>
                                      </w:rPr>
                                      <w:t>4.17%</w:t>
                                    </w:r>
                                  </w:p>
                                </w:tc>
                                <w:tc>
                                  <w:tcPr>
                                    <w:tcW w:w="0" w:type="auto"/>
                                    <w:shd w:val="clear" w:color="auto" w:fill="DFE7E7"/>
                                    <w:hideMark/>
                                  </w:tcPr>
                                  <w:p w14:paraId="12470F63" w14:textId="77777777" w:rsidR="002F3C2D" w:rsidRDefault="002F3C2D" w:rsidP="002F3C2D">
                                    <w:pPr>
                                      <w:spacing w:before="150" w:after="150"/>
                                      <w:rPr>
                                        <w:sz w:val="18"/>
                                        <w:szCs w:val="18"/>
                                      </w:rPr>
                                    </w:pPr>
                                    <w:r>
                                      <w:rPr>
                                        <w:sz w:val="18"/>
                                        <w:szCs w:val="18"/>
                                      </w:rPr>
                                      <w:t>4.40%</w:t>
                                    </w:r>
                                  </w:p>
                                </w:tc>
                                <w:tc>
                                  <w:tcPr>
                                    <w:tcW w:w="0" w:type="auto"/>
                                    <w:shd w:val="clear" w:color="auto" w:fill="DFE7E7"/>
                                    <w:hideMark/>
                                  </w:tcPr>
                                  <w:p w14:paraId="4B25F1F3" w14:textId="77777777" w:rsidR="002F3C2D" w:rsidRDefault="002F3C2D" w:rsidP="002F3C2D">
                                    <w:pPr>
                                      <w:spacing w:before="150" w:after="150"/>
                                      <w:rPr>
                                        <w:sz w:val="18"/>
                                        <w:szCs w:val="18"/>
                                      </w:rPr>
                                    </w:pPr>
                                    <w:r>
                                      <w:rPr>
                                        <w:sz w:val="18"/>
                                        <w:szCs w:val="18"/>
                                      </w:rPr>
                                      <w:t>23 bps</w:t>
                                    </w:r>
                                  </w:p>
                                </w:tc>
                                <w:tc>
                                  <w:tcPr>
                                    <w:tcW w:w="0" w:type="auto"/>
                                    <w:shd w:val="clear" w:color="auto" w:fill="DFE7E7"/>
                                    <w:hideMark/>
                                  </w:tcPr>
                                  <w:p w14:paraId="09BFDED5" w14:textId="77777777" w:rsidR="002F3C2D" w:rsidRDefault="002F3C2D" w:rsidP="002F3C2D">
                                    <w:pPr>
                                      <w:spacing w:before="150" w:after="150"/>
                                      <w:rPr>
                                        <w:sz w:val="18"/>
                                        <w:szCs w:val="18"/>
                                      </w:rPr>
                                    </w:pPr>
                                    <w:r>
                                      <w:rPr>
                                        <w:sz w:val="18"/>
                                        <w:szCs w:val="18"/>
                                      </w:rPr>
                                      <w:t>-17 bps</w:t>
                                    </w:r>
                                  </w:p>
                                </w:tc>
                              </w:tr>
                              <w:tr w:rsidR="002F3C2D" w14:paraId="43BC5327" w14:textId="77777777">
                                <w:trPr>
                                  <w:tblCellSpacing w:w="0" w:type="dxa"/>
                                </w:trPr>
                                <w:tc>
                                  <w:tcPr>
                                    <w:tcW w:w="0" w:type="auto"/>
                                    <w:shd w:val="clear" w:color="auto" w:fill="DFE7E7"/>
                                    <w:hideMark/>
                                  </w:tcPr>
                                  <w:p w14:paraId="0A8A956C" w14:textId="77777777" w:rsidR="002F3C2D" w:rsidRDefault="002F3C2D" w:rsidP="002F3C2D">
                                    <w:pPr>
                                      <w:spacing w:before="150" w:after="150"/>
                                      <w:rPr>
                                        <w:b/>
                                        <w:bCs/>
                                        <w:sz w:val="18"/>
                                        <w:szCs w:val="18"/>
                                      </w:rPr>
                                    </w:pPr>
                                    <w:r>
                                      <w:rPr>
                                        <w:b/>
                                        <w:bCs/>
                                        <w:sz w:val="18"/>
                                        <w:szCs w:val="18"/>
                                      </w:rPr>
                                      <w:t>US Dollar-DXY</w:t>
                                    </w:r>
                                  </w:p>
                                </w:tc>
                                <w:tc>
                                  <w:tcPr>
                                    <w:tcW w:w="0" w:type="auto"/>
                                    <w:shd w:val="clear" w:color="auto" w:fill="DFE7E7"/>
                                    <w:hideMark/>
                                  </w:tcPr>
                                  <w:p w14:paraId="0193164C" w14:textId="77777777" w:rsidR="002F3C2D" w:rsidRDefault="002F3C2D" w:rsidP="002F3C2D">
                                    <w:pPr>
                                      <w:spacing w:before="150" w:after="150"/>
                                      <w:rPr>
                                        <w:sz w:val="18"/>
                                        <w:szCs w:val="18"/>
                                      </w:rPr>
                                    </w:pPr>
                                    <w:r>
                                      <w:rPr>
                                        <w:sz w:val="18"/>
                                        <w:szCs w:val="18"/>
                                      </w:rPr>
                                      <w:t>108.44</w:t>
                                    </w:r>
                                  </w:p>
                                </w:tc>
                                <w:tc>
                                  <w:tcPr>
                                    <w:tcW w:w="0" w:type="auto"/>
                                    <w:shd w:val="clear" w:color="auto" w:fill="DFE7E7"/>
                                    <w:hideMark/>
                                  </w:tcPr>
                                  <w:p w14:paraId="02CB0EB8" w14:textId="77777777" w:rsidR="002F3C2D" w:rsidRDefault="002F3C2D" w:rsidP="002F3C2D">
                                    <w:pPr>
                                      <w:spacing w:before="150" w:after="150"/>
                                      <w:rPr>
                                        <w:sz w:val="18"/>
                                        <w:szCs w:val="18"/>
                                      </w:rPr>
                                    </w:pPr>
                                    <w:r>
                                      <w:rPr>
                                        <w:sz w:val="18"/>
                                        <w:szCs w:val="18"/>
                                      </w:rPr>
                                      <w:t>99.69</w:t>
                                    </w:r>
                                  </w:p>
                                </w:tc>
                                <w:tc>
                                  <w:tcPr>
                                    <w:tcW w:w="0" w:type="auto"/>
                                    <w:shd w:val="clear" w:color="auto" w:fill="DFE7E7"/>
                                    <w:hideMark/>
                                  </w:tcPr>
                                  <w:p w14:paraId="430069A8" w14:textId="77777777" w:rsidR="002F3C2D" w:rsidRDefault="002F3C2D" w:rsidP="002F3C2D">
                                    <w:pPr>
                                      <w:spacing w:before="150" w:after="150"/>
                                      <w:rPr>
                                        <w:sz w:val="18"/>
                                        <w:szCs w:val="18"/>
                                      </w:rPr>
                                    </w:pPr>
                                    <w:r>
                                      <w:rPr>
                                        <w:sz w:val="18"/>
                                        <w:szCs w:val="18"/>
                                      </w:rPr>
                                      <w:t>99.43</w:t>
                                    </w:r>
                                  </w:p>
                                </w:tc>
                                <w:tc>
                                  <w:tcPr>
                                    <w:tcW w:w="0" w:type="auto"/>
                                    <w:shd w:val="clear" w:color="auto" w:fill="DFE7E7"/>
                                    <w:hideMark/>
                                  </w:tcPr>
                                  <w:p w14:paraId="01E23BF2" w14:textId="77777777" w:rsidR="002F3C2D" w:rsidRDefault="002F3C2D" w:rsidP="002F3C2D">
                                    <w:pPr>
                                      <w:spacing w:before="150" w:after="150"/>
                                      <w:rPr>
                                        <w:sz w:val="18"/>
                                        <w:szCs w:val="18"/>
                                      </w:rPr>
                                    </w:pPr>
                                    <w:r>
                                      <w:rPr>
                                        <w:sz w:val="18"/>
                                        <w:szCs w:val="18"/>
                                      </w:rPr>
                                      <w:t>-0.26%</w:t>
                                    </w:r>
                                  </w:p>
                                </w:tc>
                                <w:tc>
                                  <w:tcPr>
                                    <w:tcW w:w="0" w:type="auto"/>
                                    <w:shd w:val="clear" w:color="auto" w:fill="DFE7E7"/>
                                    <w:hideMark/>
                                  </w:tcPr>
                                  <w:p w14:paraId="5F2258FA" w14:textId="77777777" w:rsidR="002F3C2D" w:rsidRDefault="002F3C2D" w:rsidP="002F3C2D">
                                    <w:pPr>
                                      <w:spacing w:before="150" w:after="150"/>
                                      <w:rPr>
                                        <w:sz w:val="18"/>
                                        <w:szCs w:val="18"/>
                                      </w:rPr>
                                    </w:pPr>
                                    <w:r>
                                      <w:rPr>
                                        <w:sz w:val="18"/>
                                        <w:szCs w:val="18"/>
                                      </w:rPr>
                                      <w:t>-8.31%</w:t>
                                    </w:r>
                                  </w:p>
                                </w:tc>
                              </w:tr>
                              <w:tr w:rsidR="002F3C2D" w14:paraId="0EC34AED" w14:textId="77777777">
                                <w:trPr>
                                  <w:tblCellSpacing w:w="0" w:type="dxa"/>
                                </w:trPr>
                                <w:tc>
                                  <w:tcPr>
                                    <w:tcW w:w="0" w:type="auto"/>
                                    <w:shd w:val="clear" w:color="auto" w:fill="DFE7E7"/>
                                    <w:hideMark/>
                                  </w:tcPr>
                                  <w:p w14:paraId="2ACED1F7" w14:textId="77777777" w:rsidR="002F3C2D" w:rsidRDefault="002F3C2D" w:rsidP="002F3C2D">
                                    <w:pPr>
                                      <w:spacing w:before="150" w:after="150"/>
                                      <w:rPr>
                                        <w:b/>
                                        <w:bCs/>
                                        <w:sz w:val="18"/>
                                        <w:szCs w:val="18"/>
                                      </w:rPr>
                                    </w:pPr>
                                    <w:r>
                                      <w:rPr>
                                        <w:b/>
                                        <w:bCs/>
                                        <w:sz w:val="18"/>
                                        <w:szCs w:val="18"/>
                                      </w:rPr>
                                      <w:t>Crude Oil-CL=F</w:t>
                                    </w:r>
                                  </w:p>
                                </w:tc>
                                <w:tc>
                                  <w:tcPr>
                                    <w:tcW w:w="0" w:type="auto"/>
                                    <w:shd w:val="clear" w:color="auto" w:fill="DFE7E7"/>
                                    <w:hideMark/>
                                  </w:tcPr>
                                  <w:p w14:paraId="5B59BF8E" w14:textId="77777777" w:rsidR="002F3C2D" w:rsidRDefault="002F3C2D" w:rsidP="002F3C2D">
                                    <w:pPr>
                                      <w:spacing w:before="150" w:after="150"/>
                                      <w:rPr>
                                        <w:sz w:val="18"/>
                                        <w:szCs w:val="18"/>
                                      </w:rPr>
                                    </w:pPr>
                                    <w:r>
                                      <w:rPr>
                                        <w:sz w:val="18"/>
                                        <w:szCs w:val="18"/>
                                      </w:rPr>
                                      <w:t>$71.76</w:t>
                                    </w:r>
                                  </w:p>
                                </w:tc>
                                <w:tc>
                                  <w:tcPr>
                                    <w:tcW w:w="0" w:type="auto"/>
                                    <w:shd w:val="clear" w:color="auto" w:fill="DFE7E7"/>
                                    <w:hideMark/>
                                  </w:tcPr>
                                  <w:p w14:paraId="1D1687B9" w14:textId="77777777" w:rsidR="002F3C2D" w:rsidRDefault="002F3C2D" w:rsidP="002F3C2D">
                                    <w:pPr>
                                      <w:spacing w:before="150" w:after="150"/>
                                      <w:rPr>
                                        <w:sz w:val="18"/>
                                        <w:szCs w:val="18"/>
                                      </w:rPr>
                                    </w:pPr>
                                    <w:r>
                                      <w:rPr>
                                        <w:sz w:val="18"/>
                                        <w:szCs w:val="18"/>
                                      </w:rPr>
                                      <w:t>$58.32</w:t>
                                    </w:r>
                                  </w:p>
                                </w:tc>
                                <w:tc>
                                  <w:tcPr>
                                    <w:tcW w:w="0" w:type="auto"/>
                                    <w:shd w:val="clear" w:color="auto" w:fill="DFE7E7"/>
                                    <w:hideMark/>
                                  </w:tcPr>
                                  <w:p w14:paraId="04619595" w14:textId="77777777" w:rsidR="002F3C2D" w:rsidRDefault="002F3C2D" w:rsidP="002F3C2D">
                                    <w:pPr>
                                      <w:spacing w:before="150" w:after="150"/>
                                      <w:rPr>
                                        <w:sz w:val="18"/>
                                        <w:szCs w:val="18"/>
                                      </w:rPr>
                                    </w:pPr>
                                    <w:r>
                                      <w:rPr>
                                        <w:sz w:val="18"/>
                                        <w:szCs w:val="18"/>
                                      </w:rPr>
                                      <w:t>$60.81</w:t>
                                    </w:r>
                                  </w:p>
                                </w:tc>
                                <w:tc>
                                  <w:tcPr>
                                    <w:tcW w:w="0" w:type="auto"/>
                                    <w:shd w:val="clear" w:color="auto" w:fill="DFE7E7"/>
                                    <w:hideMark/>
                                  </w:tcPr>
                                  <w:p w14:paraId="2EB432A5" w14:textId="77777777" w:rsidR="002F3C2D" w:rsidRDefault="002F3C2D" w:rsidP="002F3C2D">
                                    <w:pPr>
                                      <w:spacing w:before="150" w:after="150"/>
                                      <w:rPr>
                                        <w:sz w:val="18"/>
                                        <w:szCs w:val="18"/>
                                      </w:rPr>
                                    </w:pPr>
                                    <w:r>
                                      <w:rPr>
                                        <w:sz w:val="18"/>
                                        <w:szCs w:val="18"/>
                                      </w:rPr>
                                      <w:t>4.27%</w:t>
                                    </w:r>
                                  </w:p>
                                </w:tc>
                                <w:tc>
                                  <w:tcPr>
                                    <w:tcW w:w="0" w:type="auto"/>
                                    <w:shd w:val="clear" w:color="auto" w:fill="DFE7E7"/>
                                    <w:hideMark/>
                                  </w:tcPr>
                                  <w:p w14:paraId="5207C2A6" w14:textId="77777777" w:rsidR="002F3C2D" w:rsidRDefault="002F3C2D" w:rsidP="002F3C2D">
                                    <w:pPr>
                                      <w:spacing w:before="150" w:after="150"/>
                                      <w:rPr>
                                        <w:sz w:val="18"/>
                                        <w:szCs w:val="18"/>
                                      </w:rPr>
                                    </w:pPr>
                                    <w:r>
                                      <w:rPr>
                                        <w:sz w:val="18"/>
                                        <w:szCs w:val="18"/>
                                      </w:rPr>
                                      <w:t>-15.26%</w:t>
                                    </w:r>
                                  </w:p>
                                </w:tc>
                              </w:tr>
                              <w:tr w:rsidR="002F3C2D" w14:paraId="75C90F6E" w14:textId="77777777">
                                <w:trPr>
                                  <w:tblCellSpacing w:w="0" w:type="dxa"/>
                                </w:trPr>
                                <w:tc>
                                  <w:tcPr>
                                    <w:tcW w:w="0" w:type="auto"/>
                                    <w:shd w:val="clear" w:color="auto" w:fill="DFE7E7"/>
                                    <w:hideMark/>
                                  </w:tcPr>
                                  <w:p w14:paraId="751E19CC" w14:textId="77777777" w:rsidR="002F3C2D" w:rsidRDefault="002F3C2D" w:rsidP="002F3C2D">
                                    <w:pPr>
                                      <w:spacing w:before="150" w:after="150"/>
                                      <w:rPr>
                                        <w:b/>
                                        <w:bCs/>
                                        <w:sz w:val="18"/>
                                        <w:szCs w:val="18"/>
                                      </w:rPr>
                                    </w:pPr>
                                    <w:r>
                                      <w:rPr>
                                        <w:b/>
                                        <w:bCs/>
                                        <w:sz w:val="18"/>
                                        <w:szCs w:val="18"/>
                                      </w:rPr>
                                      <w:t>Gold-GC=F</w:t>
                                    </w:r>
                                  </w:p>
                                </w:tc>
                                <w:tc>
                                  <w:tcPr>
                                    <w:tcW w:w="0" w:type="auto"/>
                                    <w:shd w:val="clear" w:color="auto" w:fill="DFE7E7"/>
                                    <w:hideMark/>
                                  </w:tcPr>
                                  <w:p w14:paraId="1ED08DB0" w14:textId="77777777" w:rsidR="002F3C2D" w:rsidRDefault="002F3C2D" w:rsidP="002F3C2D">
                                    <w:pPr>
                                      <w:spacing w:before="150" w:after="150"/>
                                      <w:rPr>
                                        <w:sz w:val="18"/>
                                        <w:szCs w:val="18"/>
                                      </w:rPr>
                                    </w:pPr>
                                    <w:r>
                                      <w:rPr>
                                        <w:sz w:val="18"/>
                                        <w:szCs w:val="18"/>
                                      </w:rPr>
                                      <w:t>$2,638.50</w:t>
                                    </w:r>
                                  </w:p>
                                </w:tc>
                                <w:tc>
                                  <w:tcPr>
                                    <w:tcW w:w="0" w:type="auto"/>
                                    <w:shd w:val="clear" w:color="auto" w:fill="DFE7E7"/>
                                    <w:hideMark/>
                                  </w:tcPr>
                                  <w:p w14:paraId="41D8660A" w14:textId="77777777" w:rsidR="002F3C2D" w:rsidRDefault="002F3C2D" w:rsidP="002F3C2D">
                                    <w:pPr>
                                      <w:spacing w:before="150" w:after="150"/>
                                      <w:rPr>
                                        <w:sz w:val="18"/>
                                        <w:szCs w:val="18"/>
                                      </w:rPr>
                                    </w:pPr>
                                    <w:r>
                                      <w:rPr>
                                        <w:sz w:val="18"/>
                                        <w:szCs w:val="18"/>
                                      </w:rPr>
                                      <w:t>$3,303.50</w:t>
                                    </w:r>
                                  </w:p>
                                </w:tc>
                                <w:tc>
                                  <w:tcPr>
                                    <w:tcW w:w="0" w:type="auto"/>
                                    <w:shd w:val="clear" w:color="auto" w:fill="DFE7E7"/>
                                    <w:hideMark/>
                                  </w:tcPr>
                                  <w:p w14:paraId="25CF63F4" w14:textId="77777777" w:rsidR="002F3C2D" w:rsidRDefault="002F3C2D" w:rsidP="002F3C2D">
                                    <w:pPr>
                                      <w:spacing w:before="150" w:after="150"/>
                                      <w:rPr>
                                        <w:sz w:val="18"/>
                                        <w:szCs w:val="18"/>
                                      </w:rPr>
                                    </w:pPr>
                                    <w:r>
                                      <w:rPr>
                                        <w:sz w:val="18"/>
                                        <w:szCs w:val="18"/>
                                      </w:rPr>
                                      <w:t>$3,314.60</w:t>
                                    </w:r>
                                  </w:p>
                                </w:tc>
                                <w:tc>
                                  <w:tcPr>
                                    <w:tcW w:w="0" w:type="auto"/>
                                    <w:shd w:val="clear" w:color="auto" w:fill="DFE7E7"/>
                                    <w:hideMark/>
                                  </w:tcPr>
                                  <w:p w14:paraId="203A44B6" w14:textId="77777777" w:rsidR="002F3C2D" w:rsidRDefault="002F3C2D" w:rsidP="002F3C2D">
                                    <w:pPr>
                                      <w:spacing w:before="150" w:after="150"/>
                                      <w:rPr>
                                        <w:sz w:val="18"/>
                                        <w:szCs w:val="18"/>
                                      </w:rPr>
                                    </w:pPr>
                                    <w:r>
                                      <w:rPr>
                                        <w:sz w:val="18"/>
                                        <w:szCs w:val="18"/>
                                      </w:rPr>
                                      <w:t>0.34%</w:t>
                                    </w:r>
                                  </w:p>
                                </w:tc>
                                <w:tc>
                                  <w:tcPr>
                                    <w:tcW w:w="0" w:type="auto"/>
                                    <w:shd w:val="clear" w:color="auto" w:fill="DFE7E7"/>
                                    <w:hideMark/>
                                  </w:tcPr>
                                  <w:p w14:paraId="766AAF03" w14:textId="77777777" w:rsidR="002F3C2D" w:rsidRDefault="002F3C2D" w:rsidP="002F3C2D">
                                    <w:pPr>
                                      <w:spacing w:before="150" w:after="150"/>
                                      <w:rPr>
                                        <w:sz w:val="18"/>
                                        <w:szCs w:val="18"/>
                                      </w:rPr>
                                    </w:pPr>
                                    <w:r>
                                      <w:rPr>
                                        <w:sz w:val="18"/>
                                        <w:szCs w:val="18"/>
                                      </w:rPr>
                                      <w:t>25.62%</w:t>
                                    </w:r>
                                  </w:p>
                                </w:tc>
                              </w:tr>
                            </w:tbl>
                            <w:p w14:paraId="3D61ED37" w14:textId="77777777" w:rsidR="002F3C2D" w:rsidRDefault="002F3C2D" w:rsidP="002F3C2D">
                              <w:pPr>
                                <w:pStyle w:val="NormalWeb"/>
                                <w:spacing w:before="0" w:beforeAutospacing="0" w:after="105" w:afterAutospacing="0"/>
                                <w:rPr>
                                  <w:rFonts w:ascii="Arial" w:hAnsi="Arial" w:cs="Arial"/>
                                  <w:color w:val="000000"/>
                                </w:rPr>
                              </w:pPr>
                              <w:proofErr w:type="gramStart"/>
                              <w:r>
                                <w:rPr>
                                  <w:rFonts w:ascii="Arial" w:hAnsi="Arial" w:cs="Arial"/>
                                  <w:color w:val="000000"/>
                                </w:rPr>
                                <w:t>Chart</w:t>
                              </w:r>
                              <w:proofErr w:type="gramEnd"/>
                              <w:r>
                                <w:rPr>
                                  <w:rFonts w:ascii="Arial" w:hAnsi="Arial" w:cs="Arial"/>
                                  <w:color w:val="000000"/>
                                </w:rPr>
                                <w:t xml:space="preserve"> reflects price changes, not total return. Because it does not include dividends or splits, it should not be used to benchmark the performance of specific investments.</w:t>
                              </w:r>
                            </w:p>
                            <w:p w14:paraId="70D6335D" w14:textId="77777777" w:rsidR="002F3C2D" w:rsidRDefault="002F3C2D" w:rsidP="002F3C2D">
                              <w:pPr>
                                <w:pStyle w:val="Heading3"/>
                                <w:spacing w:before="0" w:beforeAutospacing="0" w:after="75" w:afterAutospacing="0"/>
                                <w:rPr>
                                  <w:rFonts w:ascii="Arial" w:hAnsi="Arial" w:cs="Arial"/>
                                  <w:color w:val="336666"/>
                                  <w:sz w:val="24"/>
                                  <w:szCs w:val="24"/>
                                </w:rPr>
                              </w:pPr>
                              <w:r>
                                <w:rPr>
                                  <w:rFonts w:ascii="Arial" w:hAnsi="Arial" w:cs="Arial"/>
                                  <w:color w:val="336666"/>
                                  <w:sz w:val="24"/>
                                  <w:szCs w:val="24"/>
                                </w:rPr>
                                <w:t>Latest Economic Reports</w:t>
                              </w:r>
                            </w:p>
                            <w:p w14:paraId="647D7590" w14:textId="77777777" w:rsidR="002F3C2D" w:rsidRDefault="002F3C2D" w:rsidP="002F3C2D">
                              <w:pPr>
                                <w:numPr>
                                  <w:ilvl w:val="0"/>
                                  <w:numId w:val="16"/>
                                </w:numPr>
                                <w:spacing w:before="100" w:beforeAutospacing="1" w:after="100" w:afterAutospacing="1" w:line="240" w:lineRule="auto"/>
                                <w:rPr>
                                  <w:rFonts w:ascii="Arial" w:hAnsi="Arial" w:cs="Arial"/>
                                  <w:color w:val="000000"/>
                                  <w:sz w:val="24"/>
                                  <w:szCs w:val="24"/>
                                </w:rPr>
                              </w:pPr>
                              <w:r>
                                <w:rPr>
                                  <w:rFonts w:ascii="Arial" w:hAnsi="Arial" w:cs="Arial"/>
                                  <w:b/>
                                  <w:bCs/>
                                  <w:color w:val="000000"/>
                                </w:rPr>
                                <w:t>Employment: </w:t>
                              </w:r>
                              <w:r>
                                <w:rPr>
                                  <w:rFonts w:ascii="Arial" w:hAnsi="Arial" w:cs="Arial"/>
                                  <w:color w:val="000000"/>
                                </w:rPr>
                                <w:t xml:space="preserve">Job growth exceeded expectations in April, with the addition of 177,000 new jobs. The April total was roughly in line with the average monthly gain of 152,000. </w:t>
                              </w:r>
                              <w:r>
                                <w:rPr>
                                  <w:rFonts w:ascii="Arial" w:hAnsi="Arial" w:cs="Arial"/>
                                  <w:color w:val="000000"/>
                                </w:rPr>
                                <w:lastRenderedPageBreak/>
                                <w:t xml:space="preserve">Employment was revised down by a combined 58,000 for February and March. In April, the unemployment rate was unchanged at 4.2%. The number of unemployed </w:t>
                              </w:r>
                              <w:proofErr w:type="gramStart"/>
                              <w:r>
                                <w:rPr>
                                  <w:rFonts w:ascii="Arial" w:hAnsi="Arial" w:cs="Arial"/>
                                  <w:color w:val="000000"/>
                                </w:rPr>
                                <w:t>persons</w:t>
                              </w:r>
                              <w:proofErr w:type="gramEnd"/>
                              <w:r>
                                <w:rPr>
                                  <w:rFonts w:ascii="Arial" w:hAnsi="Arial" w:cs="Arial"/>
                                  <w:color w:val="000000"/>
                                </w:rPr>
                                <w:t xml:space="preserve"> changed </w:t>
                              </w:r>
                              <w:proofErr w:type="gramStart"/>
                              <w:r>
                                <w:rPr>
                                  <w:rFonts w:ascii="Arial" w:hAnsi="Arial" w:cs="Arial"/>
                                  <w:color w:val="000000"/>
                                </w:rPr>
                                <w:t>little</w:t>
                              </w:r>
                              <w:proofErr w:type="gramEnd"/>
                              <w:r>
                                <w:rPr>
                                  <w:rFonts w:ascii="Arial" w:hAnsi="Arial" w:cs="Arial"/>
                                  <w:color w:val="000000"/>
                                </w:rPr>
                                <w:t xml:space="preserve"> </w:t>
                              </w:r>
                              <w:proofErr w:type="gramStart"/>
                              <w:r>
                                <w:rPr>
                                  <w:rFonts w:ascii="Arial" w:hAnsi="Arial" w:cs="Arial"/>
                                  <w:color w:val="000000"/>
                                </w:rPr>
                                <w:t>at</w:t>
                              </w:r>
                              <w:proofErr w:type="gramEnd"/>
                              <w:r>
                                <w:rPr>
                                  <w:rFonts w:ascii="Arial" w:hAnsi="Arial" w:cs="Arial"/>
                                  <w:color w:val="000000"/>
                                </w:rPr>
                                <w:t xml:space="preserve"> 7.2 million in April. The number of long-term unemployed (</w:t>
                              </w:r>
                              <w:proofErr w:type="gramStart"/>
                              <w:r>
                                <w:rPr>
                                  <w:rFonts w:ascii="Arial" w:hAnsi="Arial" w:cs="Arial"/>
                                  <w:color w:val="000000"/>
                                </w:rPr>
                                <w:t>those</w:t>
                              </w:r>
                              <w:proofErr w:type="gramEnd"/>
                              <w:r>
                                <w:rPr>
                                  <w:rFonts w:ascii="Arial" w:hAnsi="Arial" w:cs="Arial"/>
                                  <w:color w:val="000000"/>
                                </w:rPr>
                                <w:t xml:space="preserve"> jobless for 27 weeks or more) rose by 179,000 to 1.7 million. These individuals accounted for 23.5% of all unemployed </w:t>
                              </w:r>
                              <w:proofErr w:type="gramStart"/>
                              <w:r>
                                <w:rPr>
                                  <w:rFonts w:ascii="Arial" w:hAnsi="Arial" w:cs="Arial"/>
                                  <w:color w:val="000000"/>
                                </w:rPr>
                                <w:t>persons</w:t>
                              </w:r>
                              <w:proofErr w:type="gramEnd"/>
                              <w:r>
                                <w:rPr>
                                  <w:rFonts w:ascii="Arial" w:hAnsi="Arial" w:cs="Arial"/>
                                  <w:color w:val="000000"/>
                                </w:rPr>
                                <w:t>. The labor force participation rate in April was 62.6%, up 0.1 percentage point from the previous month. The employment-population ratio also increased 0.1 percentage point to 60.0%. Average hourly earnings increased by $0.06, or 0.2%, to $36.06 in April. Over the last 12 months, average hourly earnings rose by 3.8%. The average workweek was unchanged at 34.3 hours.</w:t>
                              </w:r>
                            </w:p>
                            <w:p w14:paraId="3C13FC0A" w14:textId="77777777" w:rsidR="002F3C2D" w:rsidRDefault="002F3C2D" w:rsidP="002F3C2D">
                              <w:pPr>
                                <w:numPr>
                                  <w:ilvl w:val="0"/>
                                  <w:numId w:val="16"/>
                                </w:numPr>
                                <w:spacing w:before="100" w:beforeAutospacing="1" w:after="100" w:afterAutospacing="1" w:line="240" w:lineRule="auto"/>
                                <w:rPr>
                                  <w:rFonts w:ascii="Arial" w:hAnsi="Arial" w:cs="Arial"/>
                                  <w:color w:val="000000"/>
                                </w:rPr>
                              </w:pPr>
                              <w:r>
                                <w:rPr>
                                  <w:rFonts w:ascii="Arial" w:hAnsi="Arial" w:cs="Arial"/>
                                  <w:color w:val="000000"/>
                                </w:rPr>
                                <w:t>There were 240,000 initial claims for unemployment insurance for the week ended May 24, 2025. During the same period, the total number of workers receiving unemployment insurance was 1,919,000. A year ago, there were 221,000 initial claims, while the total number of workers receiving unemployment insurance was 1,798,000.</w:t>
                              </w:r>
                            </w:p>
                            <w:p w14:paraId="65B8E698" w14:textId="77777777" w:rsidR="002F3C2D" w:rsidRDefault="002F3C2D" w:rsidP="002F3C2D">
                              <w:pPr>
                                <w:numPr>
                                  <w:ilvl w:val="0"/>
                                  <w:numId w:val="17"/>
                                </w:numPr>
                                <w:spacing w:before="100" w:beforeAutospacing="1" w:after="100" w:afterAutospacing="1" w:line="240" w:lineRule="auto"/>
                                <w:rPr>
                                  <w:rFonts w:ascii="Arial" w:hAnsi="Arial" w:cs="Arial"/>
                                  <w:color w:val="000000"/>
                                </w:rPr>
                              </w:pPr>
                              <w:r>
                                <w:rPr>
                                  <w:rFonts w:ascii="Arial" w:hAnsi="Arial" w:cs="Arial"/>
                                  <w:b/>
                                  <w:bCs/>
                                  <w:color w:val="000000"/>
                                </w:rPr>
                                <w:t>FOMC/interest rates: </w:t>
                              </w:r>
                              <w:r>
                                <w:rPr>
                                  <w:rFonts w:ascii="Arial" w:hAnsi="Arial" w:cs="Arial"/>
                                  <w:color w:val="000000"/>
                                </w:rPr>
                                <w:t>As expected, the Federal Open Market Committee held the federal funds target rate range at 4.25%-4.50% following its meeting in May. While the Committee indicated that current economic activity remained at a solid pace, the FOMC highlighted increased uncertainty about the economic outlook and noted increased risks to both sides of its dual mandate of maximum employment and inflation at the rate of 2.0%.</w:t>
                              </w:r>
                            </w:p>
                            <w:p w14:paraId="017342B1" w14:textId="77777777" w:rsidR="002F3C2D" w:rsidRDefault="002F3C2D" w:rsidP="002F3C2D">
                              <w:pPr>
                                <w:numPr>
                                  <w:ilvl w:val="0"/>
                                  <w:numId w:val="18"/>
                                </w:numPr>
                                <w:spacing w:before="100" w:beforeAutospacing="1" w:after="100" w:afterAutospacing="1" w:line="240" w:lineRule="auto"/>
                                <w:rPr>
                                  <w:rFonts w:ascii="Arial" w:hAnsi="Arial" w:cs="Arial"/>
                                  <w:color w:val="000000"/>
                                </w:rPr>
                              </w:pPr>
                              <w:r>
                                <w:rPr>
                                  <w:rFonts w:ascii="Arial" w:hAnsi="Arial" w:cs="Arial"/>
                                  <w:b/>
                                  <w:bCs/>
                                  <w:color w:val="000000"/>
                                </w:rPr>
                                <w:t>GDP/</w:t>
                              </w:r>
                              <w:proofErr w:type="spellStart"/>
                              <w:proofErr w:type="gramStart"/>
                              <w:r>
                                <w:rPr>
                                  <w:rFonts w:ascii="Arial" w:hAnsi="Arial" w:cs="Arial"/>
                                  <w:b/>
                                  <w:bCs/>
                                  <w:color w:val="000000"/>
                                </w:rPr>
                                <w:t>budget:</w:t>
                              </w:r>
                              <w:r>
                                <w:rPr>
                                  <w:rFonts w:ascii="Arial" w:hAnsi="Arial" w:cs="Arial"/>
                                  <w:color w:val="000000"/>
                                </w:rPr>
                                <w:t>The</w:t>
                              </w:r>
                              <w:proofErr w:type="spellEnd"/>
                              <w:proofErr w:type="gramEnd"/>
                              <w:r>
                                <w:rPr>
                                  <w:rFonts w:ascii="Arial" w:hAnsi="Arial" w:cs="Arial"/>
                                  <w:color w:val="000000"/>
                                </w:rPr>
                                <w:t xml:space="preserve"> economy, as measured by gross domestic product, decelerated at an annualized rate of 0.2% in the first quarter of 2025 following an increase of 2.4% in the fourth quarter of 2024. Compared to the fourth quarter, the decrease in GDP in the first quarter primarily reflected an increase in imports, which are a subtraction in the calculation of GDP, a decrease in government spending, and a deceleration in consumer spending. These movements were partly offset by increases in investment and exports. Consumer spending, as measured by the personal consumption expenditures index, rose 1.2% in the first quarter, compared to a 4.0% rise in the fourth quarter. Spending on services rose 1.7% in the first quarter, compared with a 3.0% increase in the fourth quarter. Consumer spending on goods ticked up 0.1% in the first quarter (6.2% in the fourth quarter). Fixed investment increased 7.8% in the first quarter after decreasing 1.1% in the fourth quarter. Nonresidential (business) fixed investment rose 10.3% in the first quarter after falling 3.0% in the previous quarter. Residential fixed investment </w:t>
                              </w:r>
                              <w:proofErr w:type="gramStart"/>
                              <w:r>
                                <w:rPr>
                                  <w:rFonts w:ascii="Arial" w:hAnsi="Arial" w:cs="Arial"/>
                                  <w:color w:val="000000"/>
                                </w:rPr>
                                <w:t>decreased</w:t>
                              </w:r>
                              <w:proofErr w:type="gramEnd"/>
                              <w:r>
                                <w:rPr>
                                  <w:rFonts w:ascii="Arial" w:hAnsi="Arial" w:cs="Arial"/>
                                  <w:color w:val="000000"/>
                                </w:rPr>
                                <w:t xml:space="preserve"> 0.6% in the first quarter following a 5.5% increase in the fourth quarter. Exports advanced 2.4% in the first quarter, compared with a 0.2% decline in the previous quarter. Imports </w:t>
                              </w:r>
                              <w:proofErr w:type="gramStart"/>
                              <w:r>
                                <w:rPr>
                                  <w:rFonts w:ascii="Arial" w:hAnsi="Arial" w:cs="Arial"/>
                                  <w:color w:val="000000"/>
                                </w:rPr>
                                <w:t>vaulted</w:t>
                              </w:r>
                              <w:proofErr w:type="gramEnd"/>
                              <w:r>
                                <w:rPr>
                                  <w:rFonts w:ascii="Arial" w:hAnsi="Arial" w:cs="Arial"/>
                                  <w:color w:val="000000"/>
                                </w:rPr>
                                <w:t xml:space="preserve"> 42.6% in the first quarter after ticking down 1.9% in the fourth quarter.</w:t>
                              </w:r>
                            </w:p>
                            <w:p w14:paraId="3DD2423D" w14:textId="77777777" w:rsidR="002F3C2D" w:rsidRDefault="002F3C2D" w:rsidP="002F3C2D">
                              <w:pPr>
                                <w:numPr>
                                  <w:ilvl w:val="0"/>
                                  <w:numId w:val="18"/>
                                </w:numPr>
                                <w:spacing w:before="100" w:beforeAutospacing="1" w:after="100" w:afterAutospacing="1" w:line="240" w:lineRule="auto"/>
                                <w:rPr>
                                  <w:rFonts w:ascii="Arial" w:hAnsi="Arial" w:cs="Arial"/>
                                  <w:color w:val="000000"/>
                                </w:rPr>
                              </w:pPr>
                              <w:r>
                                <w:rPr>
                                  <w:rFonts w:ascii="Arial" w:hAnsi="Arial" w:cs="Arial"/>
                                  <w:color w:val="000000"/>
                                </w:rPr>
                                <w:t xml:space="preserve">April saw the federal budget register a surplus of $258.4 billion, slightly ahead of expectations and well above the surplus of $209.5 billion in April 2024. April receipts were $850.2 billion versus $776.2 billion a year ago. April outlays were $591.8 billion versus $566.7 billion a year ago. The deficit for the first seven months of fiscal year 2025, at $1,049 billion, is well above the $855.2 billion deficit over the first seven months of the </w:t>
                              </w:r>
                              <w:r>
                                <w:rPr>
                                  <w:rFonts w:ascii="Arial" w:hAnsi="Arial" w:cs="Arial"/>
                                  <w:color w:val="000000"/>
                                </w:rPr>
                                <w:lastRenderedPageBreak/>
                                <w:t>previous fiscal year. Through the first seven months of fiscal year 2025, individual income tax receipts added up to $1,681 billion, while outlays for Social Security totaled $907.0 billion.</w:t>
                              </w:r>
                            </w:p>
                            <w:p w14:paraId="4643F202" w14:textId="77777777" w:rsidR="002F3C2D" w:rsidRDefault="002F3C2D" w:rsidP="002F3C2D">
                              <w:pPr>
                                <w:numPr>
                                  <w:ilvl w:val="0"/>
                                  <w:numId w:val="19"/>
                                </w:numPr>
                                <w:spacing w:before="100" w:beforeAutospacing="1" w:after="100" w:afterAutospacing="1" w:line="240" w:lineRule="auto"/>
                                <w:rPr>
                                  <w:rFonts w:ascii="Arial" w:hAnsi="Arial" w:cs="Arial"/>
                                  <w:color w:val="000000"/>
                                </w:rPr>
                              </w:pPr>
                              <w:r>
                                <w:rPr>
                                  <w:rFonts w:ascii="Arial" w:hAnsi="Arial" w:cs="Arial"/>
                                  <w:b/>
                                  <w:bCs/>
                                  <w:color w:val="000000"/>
                                </w:rPr>
                                <w:t>Inflation/consumer spending: </w:t>
                              </w:r>
                              <w:r>
                                <w:rPr>
                                  <w:rFonts w:ascii="Arial" w:hAnsi="Arial" w:cs="Arial"/>
                                  <w:color w:val="000000"/>
                                </w:rPr>
                                <w:t xml:space="preserve">According to the latest Personal Income and Outlays report, personal income and disposable personal income each rose 0.8% in April after both increased 0.7% in March. Consumer spending increased 0.2% in April after increasing 0.7% the previous month. In April, the PCE price index and the PCE price index less food and energy (core prices) each ticked up 0.1% for the month. The PCE price index rose 2.1% </w:t>
                              </w:r>
                              <w:proofErr w:type="gramStart"/>
                              <w:r>
                                <w:rPr>
                                  <w:rFonts w:ascii="Arial" w:hAnsi="Arial" w:cs="Arial"/>
                                  <w:color w:val="000000"/>
                                </w:rPr>
                                <w:t>since</w:t>
                              </w:r>
                              <w:proofErr w:type="gramEnd"/>
                              <w:r>
                                <w:rPr>
                                  <w:rFonts w:ascii="Arial" w:hAnsi="Arial" w:cs="Arial"/>
                                  <w:color w:val="000000"/>
                                </w:rPr>
                                <w:t xml:space="preserve"> April 2024, while core prices increased 2.5% over the same period. In April, prices for both goods and services inched up 0.1%. Food prices decreased 0.3%, while energy prices rose 0.5%.</w:t>
                              </w:r>
                            </w:p>
                            <w:p w14:paraId="37A7FF7C" w14:textId="77777777" w:rsidR="002F3C2D" w:rsidRDefault="002F3C2D" w:rsidP="002F3C2D">
                              <w:pPr>
                                <w:pStyle w:val="NormalWeb"/>
                                <w:numPr>
                                  <w:ilvl w:val="0"/>
                                  <w:numId w:val="19"/>
                                </w:numPr>
                                <w:spacing w:before="0" w:beforeAutospacing="0" w:after="105" w:afterAutospacing="0"/>
                                <w:rPr>
                                  <w:rFonts w:ascii="Arial" w:hAnsi="Arial" w:cs="Arial"/>
                                  <w:color w:val="000000"/>
                                </w:rPr>
                              </w:pPr>
                              <w:r>
                                <w:rPr>
                                  <w:rFonts w:ascii="Arial" w:hAnsi="Arial" w:cs="Arial"/>
                                  <w:color w:val="000000"/>
                                </w:rPr>
                                <w:t xml:space="preserve">The Consumer Price Index rose 0.2% in April after declining 0.1% in March. Over the 12 </w:t>
                              </w:r>
                              <w:proofErr w:type="gramStart"/>
                              <w:r>
                                <w:rPr>
                                  <w:rFonts w:ascii="Arial" w:hAnsi="Arial" w:cs="Arial"/>
                                  <w:color w:val="000000"/>
                                </w:rPr>
                                <w:t>months</w:t>
                              </w:r>
                              <w:proofErr w:type="gramEnd"/>
                              <w:r>
                                <w:rPr>
                                  <w:rFonts w:ascii="Arial" w:hAnsi="Arial" w:cs="Arial"/>
                                  <w:color w:val="000000"/>
                                </w:rPr>
                                <w:t xml:space="preserve"> ended in April, the CPI rose 2.3%, 0.1 percentage </w:t>
                              </w:r>
                              <w:proofErr w:type="gramStart"/>
                              <w:r>
                                <w:rPr>
                                  <w:rFonts w:ascii="Arial" w:hAnsi="Arial" w:cs="Arial"/>
                                  <w:color w:val="000000"/>
                                </w:rPr>
                                <w:t>point</w:t>
                              </w:r>
                              <w:proofErr w:type="gramEnd"/>
                              <w:r>
                                <w:rPr>
                                  <w:rFonts w:ascii="Arial" w:hAnsi="Arial" w:cs="Arial"/>
                                  <w:color w:val="000000"/>
                                </w:rPr>
                                <w:t xml:space="preserve"> below the rate for the 12 months ended in March. Core prices (excluding food and energy) inched up 0.2% last month and 2.8% since April 2024. Prices for shelter rose 0.3% in April, accounting for more than half of the total CPI monthly increase. Food prices decreased 0.1% last month after rising 0.4% in March. Energy prices rose 0.7% in April, despite a 0.1% decline in gasoline prices. Over the last 12 months ended in April, food prices increased 2.8%, energy prices declined 3.7%, and shelter prices rose 4.0%.</w:t>
                              </w:r>
                            </w:p>
                            <w:p w14:paraId="4300F9D6" w14:textId="77777777" w:rsidR="002F3C2D" w:rsidRDefault="002F3C2D" w:rsidP="002F3C2D">
                              <w:pPr>
                                <w:pStyle w:val="NormalWeb"/>
                                <w:numPr>
                                  <w:ilvl w:val="0"/>
                                  <w:numId w:val="19"/>
                                </w:numPr>
                                <w:spacing w:before="0" w:beforeAutospacing="0" w:after="105" w:afterAutospacing="0"/>
                                <w:rPr>
                                  <w:rFonts w:ascii="Arial" w:hAnsi="Arial" w:cs="Arial"/>
                                  <w:color w:val="000000"/>
                                </w:rPr>
                              </w:pPr>
                              <w:r>
                                <w:rPr>
                                  <w:rFonts w:ascii="Arial" w:hAnsi="Arial" w:cs="Arial"/>
                                  <w:color w:val="000000"/>
                                </w:rPr>
                                <w:t xml:space="preserve">Prices at the wholesale level declined 0.5% in April following a revised flat reading in March, according to the Producer Price Index. Producer prices increased 2.4% for the 12 months ended in April after rising 2.7% for the 12-month period ended in March. Excluding food and energy, producer prices fell 0.4% in April but increased 3.1% for the year. In April, prices for goods were unchanged from the previous month but rose 0.5% since April 2024. Last month saw prices for services fall 0.7% after a revised 0.4% increase in March. Prices for services have risen 3.3% for the 12 months </w:t>
                              </w:r>
                              <w:proofErr w:type="gramStart"/>
                              <w:r>
                                <w:rPr>
                                  <w:rFonts w:ascii="Arial" w:hAnsi="Arial" w:cs="Arial"/>
                                  <w:color w:val="000000"/>
                                </w:rPr>
                                <w:t>ended</w:t>
                              </w:r>
                              <w:proofErr w:type="gramEnd"/>
                              <w:r>
                                <w:rPr>
                                  <w:rFonts w:ascii="Arial" w:hAnsi="Arial" w:cs="Arial"/>
                                  <w:color w:val="000000"/>
                                </w:rPr>
                                <w:t xml:space="preserve"> in April, a decrease of 0.3 percentage point from the increase over the 12 months </w:t>
                              </w:r>
                              <w:proofErr w:type="gramStart"/>
                              <w:r>
                                <w:rPr>
                                  <w:rFonts w:ascii="Arial" w:hAnsi="Arial" w:cs="Arial"/>
                                  <w:color w:val="000000"/>
                                </w:rPr>
                                <w:t>ended</w:t>
                              </w:r>
                              <w:proofErr w:type="gramEnd"/>
                              <w:r>
                                <w:rPr>
                                  <w:rFonts w:ascii="Arial" w:hAnsi="Arial" w:cs="Arial"/>
                                  <w:color w:val="000000"/>
                                </w:rPr>
                                <w:t xml:space="preserve"> in March.</w:t>
                              </w:r>
                            </w:p>
                            <w:p w14:paraId="177D4CA7" w14:textId="77777777" w:rsidR="002F3C2D" w:rsidRDefault="002F3C2D" w:rsidP="002F3C2D">
                              <w:pPr>
                                <w:numPr>
                                  <w:ilvl w:val="0"/>
                                  <w:numId w:val="19"/>
                                </w:numPr>
                                <w:spacing w:before="100" w:beforeAutospacing="1" w:after="100" w:afterAutospacing="1" w:line="240" w:lineRule="auto"/>
                                <w:rPr>
                                  <w:rFonts w:ascii="Arial" w:hAnsi="Arial" w:cs="Arial"/>
                                  <w:color w:val="000000"/>
                                </w:rPr>
                              </w:pPr>
                              <w:r>
                                <w:rPr>
                                  <w:rFonts w:ascii="Arial" w:hAnsi="Arial" w:cs="Arial"/>
                                  <w:b/>
                                  <w:bCs/>
                                  <w:color w:val="000000"/>
                                </w:rPr>
                                <w:t>Housing: </w:t>
                              </w:r>
                              <w:r>
                                <w:rPr>
                                  <w:rFonts w:ascii="Arial" w:hAnsi="Arial" w:cs="Arial"/>
                                  <w:color w:val="000000"/>
                                </w:rPr>
                                <w:t xml:space="preserve">Sales of existing homes decreased 0.5% in April and were 2.0% </w:t>
                              </w:r>
                              <w:proofErr w:type="gramStart"/>
                              <w:r>
                                <w:rPr>
                                  <w:rFonts w:ascii="Arial" w:hAnsi="Arial" w:cs="Arial"/>
                                  <w:color w:val="000000"/>
                                </w:rPr>
                                <w:t>under</w:t>
                              </w:r>
                              <w:proofErr w:type="gramEnd"/>
                              <w:r>
                                <w:rPr>
                                  <w:rFonts w:ascii="Arial" w:hAnsi="Arial" w:cs="Arial"/>
                                  <w:color w:val="000000"/>
                                </w:rPr>
                                <w:t xml:space="preserve"> the April 2024 figure. The median existing-home price was $414,000 in April, above the March estimate of $403,100 and 1.8% higher than the year-earlier price of $406,600. Unsold inventory of existing homes in April represented a 4.4-month supply at the current sales pace, marginally longer than the March supply of 4.0 months and well above the 3.5-month supply from a year ago. Sales of existing single-family homes fell 0.3% in April and were 1.4% below the estimate from a year earlier. The median existing single-family home price </w:t>
                              </w:r>
                              <w:r>
                                <w:rPr>
                                  <w:rFonts w:ascii="Arial" w:hAnsi="Arial" w:cs="Arial"/>
                                  <w:color w:val="000000"/>
                                </w:rPr>
                                <w:lastRenderedPageBreak/>
                                <w:t>was $418,000 in April ($407,300 in March), and 1.7% above the April 2024 estimate of $411,100.</w:t>
                              </w:r>
                            </w:p>
                            <w:p w14:paraId="3CF26834" w14:textId="77777777" w:rsidR="002F3C2D" w:rsidRDefault="002F3C2D" w:rsidP="002F3C2D">
                              <w:pPr>
                                <w:numPr>
                                  <w:ilvl w:val="0"/>
                                  <w:numId w:val="19"/>
                                </w:numPr>
                                <w:spacing w:before="100" w:beforeAutospacing="1" w:after="100" w:afterAutospacing="1" w:line="240" w:lineRule="auto"/>
                                <w:rPr>
                                  <w:rFonts w:ascii="Arial" w:hAnsi="Arial" w:cs="Arial"/>
                                  <w:color w:val="000000"/>
                                </w:rPr>
                              </w:pPr>
                              <w:r>
                                <w:rPr>
                                  <w:rFonts w:ascii="Arial" w:hAnsi="Arial" w:cs="Arial"/>
                                  <w:color w:val="000000"/>
                                </w:rPr>
                                <w:t xml:space="preserve">New single-family home sales rose 10.9% in April and were 3.3% above the April 2024 figure. The median sales price of new single-family houses sold in April was $407,200 ($403,700 in March), down from the April 2024 estimate of $415,300. The April average sales price was $518,400 ($499,700 in March), up from the April 2024 average sales price of $500,600. </w:t>
                              </w:r>
                              <w:proofErr w:type="gramStart"/>
                              <w:r>
                                <w:rPr>
                                  <w:rFonts w:ascii="Arial" w:hAnsi="Arial" w:cs="Arial"/>
                                  <w:color w:val="000000"/>
                                </w:rPr>
                                <w:t>Inventory</w:t>
                              </w:r>
                              <w:proofErr w:type="gramEnd"/>
                              <w:r>
                                <w:rPr>
                                  <w:rFonts w:ascii="Arial" w:hAnsi="Arial" w:cs="Arial"/>
                                  <w:color w:val="000000"/>
                                </w:rPr>
                                <w:t xml:space="preserve"> of new single-family homes for sale in April represented a supply of 8.1 months at the current sales pace, down from the March estimate of 9.1 months but above the 7.7-month supply from a year earlier.</w:t>
                              </w:r>
                            </w:p>
                            <w:p w14:paraId="3A945BF2" w14:textId="77777777" w:rsidR="002F3C2D" w:rsidRDefault="002F3C2D" w:rsidP="002F3C2D">
                              <w:pPr>
                                <w:numPr>
                                  <w:ilvl w:val="0"/>
                                  <w:numId w:val="20"/>
                                </w:numPr>
                                <w:spacing w:before="100" w:beforeAutospacing="1" w:after="100" w:afterAutospacing="1" w:line="240" w:lineRule="auto"/>
                                <w:rPr>
                                  <w:rFonts w:ascii="Arial" w:hAnsi="Arial" w:cs="Arial"/>
                                  <w:color w:val="000000"/>
                                </w:rPr>
                              </w:pPr>
                              <w:r>
                                <w:rPr>
                                  <w:rFonts w:ascii="Arial" w:hAnsi="Arial" w:cs="Arial"/>
                                  <w:b/>
                                  <w:bCs/>
                                  <w:color w:val="000000"/>
                                </w:rPr>
                                <w:t>Manufacturing: </w:t>
                              </w:r>
                              <w:r>
                                <w:rPr>
                                  <w:rFonts w:ascii="Arial" w:hAnsi="Arial" w:cs="Arial"/>
                                  <w:color w:val="000000"/>
                                </w:rPr>
                                <w:t xml:space="preserve">Industrial production was unchanged in April following a 0.3% decline in March. Manufacturing output decreased 0.4% last month after climbing 0.4% in March. In April, mining decreased 0.3%, while utilities rose 3.3%. Over the 12 months </w:t>
                              </w:r>
                              <w:proofErr w:type="gramStart"/>
                              <w:r>
                                <w:rPr>
                                  <w:rFonts w:ascii="Arial" w:hAnsi="Arial" w:cs="Arial"/>
                                  <w:color w:val="000000"/>
                                </w:rPr>
                                <w:t>ended</w:t>
                              </w:r>
                              <w:proofErr w:type="gramEnd"/>
                              <w:r>
                                <w:rPr>
                                  <w:rFonts w:ascii="Arial" w:hAnsi="Arial" w:cs="Arial"/>
                                  <w:color w:val="000000"/>
                                </w:rPr>
                                <w:t xml:space="preserve"> in April, total industrial production was 1.5% above its year-earlier reading. Since April 2024, manufacturing increased 1.2%, utilities rose 4.3%, while mining increased 0.7%.</w:t>
                              </w:r>
                            </w:p>
                            <w:p w14:paraId="68983093" w14:textId="77777777" w:rsidR="002F3C2D" w:rsidRDefault="002F3C2D" w:rsidP="002F3C2D">
                              <w:pPr>
                                <w:numPr>
                                  <w:ilvl w:val="0"/>
                                  <w:numId w:val="20"/>
                                </w:numPr>
                                <w:spacing w:before="100" w:beforeAutospacing="1" w:after="100" w:afterAutospacing="1" w:line="240" w:lineRule="auto"/>
                                <w:rPr>
                                  <w:rFonts w:ascii="Arial" w:hAnsi="Arial" w:cs="Arial"/>
                                  <w:color w:val="000000"/>
                                </w:rPr>
                              </w:pPr>
                              <w:r>
                                <w:rPr>
                                  <w:rFonts w:ascii="Arial" w:hAnsi="Arial" w:cs="Arial"/>
                                  <w:color w:val="000000"/>
                                </w:rPr>
                                <w:t xml:space="preserve">New orders for durable goods fell 6.3% in April following four consecutive monthly increases. Excluding transportation, new orders increased 0.2%. Excluding defense, new orders decreased 7.5%. Transportation equipment, also down following four consecutive monthly increases, drove the April decline after decreasing 17.1%. For the 12 months </w:t>
                              </w:r>
                              <w:proofErr w:type="gramStart"/>
                              <w:r>
                                <w:rPr>
                                  <w:rFonts w:ascii="Arial" w:hAnsi="Arial" w:cs="Arial"/>
                                  <w:color w:val="000000"/>
                                </w:rPr>
                                <w:t>ended</w:t>
                              </w:r>
                              <w:proofErr w:type="gramEnd"/>
                              <w:r>
                                <w:rPr>
                                  <w:rFonts w:ascii="Arial" w:hAnsi="Arial" w:cs="Arial"/>
                                  <w:color w:val="000000"/>
                                </w:rPr>
                                <w:t xml:space="preserve"> in April, durable goods orders advanced 4.2%.</w:t>
                              </w:r>
                            </w:p>
                            <w:p w14:paraId="318C5331" w14:textId="77777777" w:rsidR="002F3C2D" w:rsidRDefault="002F3C2D" w:rsidP="002F3C2D">
                              <w:pPr>
                                <w:numPr>
                                  <w:ilvl w:val="0"/>
                                  <w:numId w:val="21"/>
                                </w:numPr>
                                <w:spacing w:before="100" w:beforeAutospacing="1" w:after="100" w:afterAutospacing="1" w:line="240" w:lineRule="auto"/>
                                <w:rPr>
                                  <w:rFonts w:ascii="Arial" w:hAnsi="Arial" w:cs="Arial"/>
                                  <w:color w:val="000000"/>
                                </w:rPr>
                              </w:pPr>
                              <w:r>
                                <w:rPr>
                                  <w:rFonts w:ascii="Arial" w:hAnsi="Arial" w:cs="Arial"/>
                                  <w:b/>
                                  <w:bCs/>
                                  <w:color w:val="000000"/>
                                </w:rPr>
                                <w:t>Imports and exports:</w:t>
                              </w:r>
                              <w:r>
                                <w:rPr>
                                  <w:rFonts w:ascii="Arial" w:hAnsi="Arial" w:cs="Arial"/>
                                  <w:color w:val="000000"/>
                                </w:rPr>
                                <w:t xml:space="preserve"> Import prices increased 0.1% in April following a 0.4% increase in March. Prices for imports increased 0.1% from April 2024 to April 2025. Import fuel prices decreased 2.6% in April and 12.0% over the past 12 months, which was the largest 12-month decline since the year ended October 2024. Export prices rose 0.1% in April for the second consecutive month. Export prices have not declined on a one-month basis since September 2024. Export prices advanced 2.0% for the 12 months </w:t>
                              </w:r>
                              <w:proofErr w:type="gramStart"/>
                              <w:r>
                                <w:rPr>
                                  <w:rFonts w:ascii="Arial" w:hAnsi="Arial" w:cs="Arial"/>
                                  <w:color w:val="000000"/>
                                </w:rPr>
                                <w:t>ended</w:t>
                              </w:r>
                              <w:proofErr w:type="gramEnd"/>
                              <w:r>
                                <w:rPr>
                                  <w:rFonts w:ascii="Arial" w:hAnsi="Arial" w:cs="Arial"/>
                                  <w:color w:val="000000"/>
                                </w:rPr>
                                <w:t xml:space="preserve"> in April 2025.</w:t>
                              </w:r>
                            </w:p>
                            <w:p w14:paraId="6F6045D5" w14:textId="77777777" w:rsidR="002F3C2D" w:rsidRDefault="002F3C2D" w:rsidP="002F3C2D">
                              <w:pPr>
                                <w:numPr>
                                  <w:ilvl w:val="0"/>
                                  <w:numId w:val="21"/>
                                </w:numPr>
                                <w:spacing w:before="100" w:beforeAutospacing="1" w:after="100" w:afterAutospacing="1" w:line="240" w:lineRule="auto"/>
                                <w:rPr>
                                  <w:rFonts w:ascii="Arial" w:hAnsi="Arial" w:cs="Arial"/>
                                  <w:color w:val="000000"/>
                                </w:rPr>
                              </w:pPr>
                              <w:r>
                                <w:rPr>
                                  <w:rFonts w:ascii="Arial" w:hAnsi="Arial" w:cs="Arial"/>
                                  <w:color w:val="000000"/>
                                </w:rPr>
                                <w:t xml:space="preserve">The international trade in goods deficit in April was $87.6 billion, 46.0% less than the March estimate. Exports of goods for April were 3.4% above March exports. Imports of goods for April were 19.8% less than March imports. Over the 12 months </w:t>
                              </w:r>
                              <w:proofErr w:type="gramStart"/>
                              <w:r>
                                <w:rPr>
                                  <w:rFonts w:ascii="Arial" w:hAnsi="Arial" w:cs="Arial"/>
                                  <w:color w:val="000000"/>
                                </w:rPr>
                                <w:t>ended</w:t>
                              </w:r>
                              <w:proofErr w:type="gramEnd"/>
                              <w:r>
                                <w:rPr>
                                  <w:rFonts w:ascii="Arial" w:hAnsi="Arial" w:cs="Arial"/>
                                  <w:color w:val="000000"/>
                                </w:rPr>
                                <w:t xml:space="preserve"> in April, exports rose 9.6%, while imports increased 2.6%.</w:t>
                              </w:r>
                            </w:p>
                            <w:p w14:paraId="5B63DDB6" w14:textId="77777777" w:rsidR="002F3C2D" w:rsidRDefault="002F3C2D" w:rsidP="002F3C2D">
                              <w:pPr>
                                <w:numPr>
                                  <w:ilvl w:val="0"/>
                                  <w:numId w:val="21"/>
                                </w:numPr>
                                <w:spacing w:before="100" w:beforeAutospacing="1" w:after="100" w:afterAutospacing="1" w:line="240" w:lineRule="auto"/>
                                <w:rPr>
                                  <w:rFonts w:ascii="Arial" w:hAnsi="Arial" w:cs="Arial"/>
                                  <w:color w:val="000000"/>
                                </w:rPr>
                              </w:pPr>
                              <w:r>
                                <w:rPr>
                                  <w:rFonts w:ascii="Arial" w:hAnsi="Arial" w:cs="Arial"/>
                                  <w:color w:val="000000"/>
                                </w:rPr>
                                <w:t xml:space="preserve">The latest information on international trade in goods and services, released May 6, saw the goods and services deficit rise 14.0% in March to $140.5 billion. Exports of goods increased 2.0% to $278.5 billion in March. Imports of goods advanced 4.4% to $419.0 billion. For the 12 months </w:t>
                              </w:r>
                              <w:proofErr w:type="gramStart"/>
                              <w:r>
                                <w:rPr>
                                  <w:rFonts w:ascii="Arial" w:hAnsi="Arial" w:cs="Arial"/>
                                  <w:color w:val="000000"/>
                                </w:rPr>
                                <w:t>ended</w:t>
                              </w:r>
                              <w:proofErr w:type="gramEnd"/>
                              <w:r>
                                <w:rPr>
                                  <w:rFonts w:ascii="Arial" w:hAnsi="Arial" w:cs="Arial"/>
                                  <w:color w:val="000000"/>
                                </w:rPr>
                                <w:t xml:space="preserve"> in March 2025, the goods and services deficit increased $189.6 billion, or 92.6%, from the same period in 2024. Exports increased $41.1 billion, or 5.2%. Imports </w:t>
                              </w:r>
                              <w:proofErr w:type="gramStart"/>
                              <w:r>
                                <w:rPr>
                                  <w:rFonts w:ascii="Arial" w:hAnsi="Arial" w:cs="Arial"/>
                                  <w:color w:val="000000"/>
                                </w:rPr>
                                <w:t>increased</w:t>
                              </w:r>
                              <w:proofErr w:type="gramEnd"/>
                              <w:r>
                                <w:rPr>
                                  <w:rFonts w:ascii="Arial" w:hAnsi="Arial" w:cs="Arial"/>
                                  <w:color w:val="000000"/>
                                </w:rPr>
                                <w:t xml:space="preserve"> $230.7 billion, or 23.3%.</w:t>
                              </w:r>
                            </w:p>
                            <w:p w14:paraId="213D6729" w14:textId="77777777" w:rsidR="002F3C2D" w:rsidRDefault="002F3C2D" w:rsidP="002F3C2D">
                              <w:pPr>
                                <w:numPr>
                                  <w:ilvl w:val="0"/>
                                  <w:numId w:val="22"/>
                                </w:numPr>
                                <w:spacing w:before="100" w:beforeAutospacing="1" w:after="100" w:afterAutospacing="1" w:line="240" w:lineRule="auto"/>
                                <w:rPr>
                                  <w:rFonts w:ascii="Arial" w:hAnsi="Arial" w:cs="Arial"/>
                                  <w:color w:val="000000"/>
                                </w:rPr>
                              </w:pPr>
                              <w:r>
                                <w:rPr>
                                  <w:rFonts w:ascii="Arial" w:hAnsi="Arial" w:cs="Arial"/>
                                  <w:b/>
                                  <w:bCs/>
                                  <w:color w:val="000000"/>
                                </w:rPr>
                                <w:t>International markets: </w:t>
                              </w:r>
                              <w:r>
                                <w:rPr>
                                  <w:rFonts w:ascii="Arial" w:hAnsi="Arial" w:cs="Arial"/>
                                  <w:color w:val="000000"/>
                                </w:rPr>
                                <w:t xml:space="preserve">Investors spent the month of May digesting plenty of economic data, particularly with respect to the impact of tariffs on international trade. German retail sales declined for the first time in four months after falling 1.1% in April. However, the </w:t>
                              </w:r>
                              <w:r>
                                <w:rPr>
                                  <w:rFonts w:ascii="Arial" w:hAnsi="Arial" w:cs="Arial"/>
                                  <w:color w:val="000000"/>
                                </w:rPr>
                                <w:lastRenderedPageBreak/>
                                <w:t>German Consumer Price Index held steady at 2.1% in May. Despite the imposition of tariffs, inflation eased in Italy, Spain, and France, boosting expectations of an interest rate cut by the European Central Bank when it meets in early June. China's first-quarter 2025 GDP grew 1.2%, down from a 1.6% increase in the fourth quarter. In addition, China's consumer prices fell for the third straight month in April and were down 0.1% from April 2024. In May, the STOXX Europe 600 Index rose 2.3%; the United Kingdom's FTSE gained 2.1%; Japan's Nikkei 225 Index gained 3.1%; and China's Shanghai Composite Index ticked up 2.1%.</w:t>
                              </w:r>
                            </w:p>
                            <w:p w14:paraId="4BAB53C7" w14:textId="77777777" w:rsidR="002F3C2D" w:rsidRDefault="002F3C2D" w:rsidP="002F3C2D">
                              <w:pPr>
                                <w:numPr>
                                  <w:ilvl w:val="0"/>
                                  <w:numId w:val="23"/>
                                </w:numPr>
                                <w:spacing w:before="100" w:beforeAutospacing="1" w:after="100" w:afterAutospacing="1" w:line="240" w:lineRule="auto"/>
                                <w:rPr>
                                  <w:rFonts w:ascii="Arial" w:hAnsi="Arial" w:cs="Arial"/>
                                  <w:color w:val="000000"/>
                                </w:rPr>
                              </w:pPr>
                              <w:r>
                                <w:rPr>
                                  <w:rFonts w:ascii="Arial" w:hAnsi="Arial" w:cs="Arial"/>
                                  <w:b/>
                                  <w:bCs/>
                                  <w:color w:val="000000"/>
                                </w:rPr>
                                <w:t>Consumer confidence: </w:t>
                              </w:r>
                              <w:r>
                                <w:rPr>
                                  <w:rFonts w:ascii="Arial" w:hAnsi="Arial" w:cs="Arial"/>
                                  <w:color w:val="000000"/>
                                </w:rPr>
                                <w:t xml:space="preserve">The Conference </w:t>
                              </w:r>
                              <w:proofErr w:type="gramStart"/>
                              <w:r>
                                <w:rPr>
                                  <w:rFonts w:ascii="Arial" w:hAnsi="Arial" w:cs="Arial"/>
                                  <w:color w:val="000000"/>
                                </w:rPr>
                                <w:t>Board Consumer</w:t>
                              </w:r>
                              <w:proofErr w:type="gramEnd"/>
                              <w:r>
                                <w:rPr>
                                  <w:rFonts w:ascii="Arial" w:hAnsi="Arial" w:cs="Arial"/>
                                  <w:color w:val="000000"/>
                                </w:rPr>
                                <w:t xml:space="preserve"> Confidence Index® rose by 12.3 points in May to 98.0. The Present Situation Index, based on consumers' assessment of current business and labor market conditions, increased 4.8 points to 135.9. The Expectations Index, based on consumers' short-term outlook for income, business, and labor market conditions, jumped 17.4 points to 72.8 but remained below the threshold of 80 that usually signals a recession ahead.</w:t>
                              </w:r>
                            </w:p>
                            <w:p w14:paraId="06B9E8DD" w14:textId="77777777" w:rsidR="002F3C2D" w:rsidRDefault="002F3C2D" w:rsidP="002F3C2D">
                              <w:pPr>
                                <w:pStyle w:val="Heading3"/>
                                <w:spacing w:before="0" w:beforeAutospacing="0" w:after="75" w:afterAutospacing="0"/>
                                <w:rPr>
                                  <w:rFonts w:ascii="Arial" w:hAnsi="Arial" w:cs="Arial"/>
                                  <w:color w:val="336666"/>
                                  <w:sz w:val="24"/>
                                  <w:szCs w:val="24"/>
                                </w:rPr>
                              </w:pPr>
                              <w:r>
                                <w:rPr>
                                  <w:rFonts w:ascii="Arial" w:hAnsi="Arial" w:cs="Arial"/>
                                  <w:color w:val="336666"/>
                                  <w:sz w:val="24"/>
                                  <w:szCs w:val="24"/>
                                </w:rPr>
                                <w:t>Eye on the Month Ahead</w:t>
                              </w:r>
                            </w:p>
                            <w:p w14:paraId="25272B85" w14:textId="77777777" w:rsidR="002F3C2D" w:rsidRDefault="002F3C2D" w:rsidP="002F3C2D">
                              <w:pPr>
                                <w:pStyle w:val="NormalWeb"/>
                                <w:spacing w:before="0" w:beforeAutospacing="0" w:after="105" w:afterAutospacing="0"/>
                                <w:rPr>
                                  <w:rFonts w:ascii="Arial" w:hAnsi="Arial" w:cs="Arial"/>
                                  <w:color w:val="000000"/>
                                </w:rPr>
                              </w:pPr>
                              <w:r>
                                <w:rPr>
                                  <w:rFonts w:ascii="Arial" w:hAnsi="Arial" w:cs="Arial"/>
                                  <w:color w:val="000000"/>
                                </w:rPr>
                                <w:t>Most of the attention during June will be focused on President Trump's tax and immigration legislation, as well as the impact of tariffs on worldwide trade.</w:t>
                              </w:r>
                            </w:p>
                            <w:p w14:paraId="6ABD60DC" w14:textId="77777777" w:rsidR="002F3C2D" w:rsidRDefault="002F3C2D" w:rsidP="002F3C2D">
                              <w:pPr>
                                <w:pStyle w:val="NormalWeb"/>
                                <w:spacing w:before="0" w:beforeAutospacing="0" w:after="105" w:afterAutospacing="0"/>
                                <w:rPr>
                                  <w:rFonts w:ascii="Arial" w:hAnsi="Arial" w:cs="Arial"/>
                                  <w:color w:val="000000"/>
                                </w:rPr>
                              </w:pPr>
                              <w:r>
                                <w:rPr>
                                  <w:rFonts w:ascii="Arial" w:hAnsi="Arial" w:cs="Arial"/>
                                  <w:i/>
                                  <w:iCs/>
                                  <w:color w:val="000000"/>
                                </w:rPr>
                                <w:t xml:space="preserve">Data sources: Economic: Based on data from U.S. Bureau of Labor Statistics (unemployment, inflation); U.S. Department of Commerce (GDP, corporate profits, retail sales, housing); S&amp;P/Case-Shiller 20-City Composite Index (home prices); Institute for Supply Management (manufacturing/services). Performance: Based on data reported in WSJ Market Data Center (indexes); U.S. Treasury (Treasury yields); U.S. Energy Information Administration/Bloomberg.com Market Data (oil spot price, WTI, Cushing, OK); www.goldprice.org (spot gold/silver); </w:t>
                              </w:r>
                              <w:proofErr w:type="spellStart"/>
                              <w:r>
                                <w:rPr>
                                  <w:rFonts w:ascii="Arial" w:hAnsi="Arial" w:cs="Arial"/>
                                  <w:i/>
                                  <w:iCs/>
                                  <w:color w:val="000000"/>
                                </w:rPr>
                                <w:t>Oanda</w:t>
                              </w:r>
                              <w:proofErr w:type="spellEnd"/>
                              <w:r>
                                <w:rPr>
                                  <w:rFonts w:ascii="Arial" w:hAnsi="Arial" w:cs="Arial"/>
                                  <w:i/>
                                  <w:iCs/>
                                  <w:color w:val="000000"/>
                                </w:rPr>
                                <w:t>/FX Street (currency exchange rates).</w:t>
                              </w:r>
                            </w:p>
                            <w:p w14:paraId="7E39C610" w14:textId="77777777" w:rsidR="002F3C2D" w:rsidRDefault="002F3C2D" w:rsidP="002F3C2D">
                              <w:pPr>
                                <w:pStyle w:val="NormalWeb"/>
                                <w:spacing w:before="0" w:beforeAutospacing="0" w:after="105" w:afterAutospacing="0"/>
                                <w:rPr>
                                  <w:rFonts w:ascii="Arial" w:hAnsi="Arial" w:cs="Arial"/>
                                  <w:color w:val="000000"/>
                                </w:rPr>
                              </w:pPr>
                              <w:r>
                                <w:rPr>
                                  <w:rFonts w:ascii="Arial" w:hAnsi="Arial" w:cs="Arial"/>
                                  <w:i/>
                                  <w:iCs/>
                                  <w:color w:val="000000"/>
                                </w:rPr>
                                <w:t xml:space="preserve">News items are based on reports from multiple commonly available international news sources (i.e., wire services) and are independently verified when </w:t>
                              </w:r>
                              <w:proofErr w:type="gramStart"/>
                              <w:r>
                                <w:rPr>
                                  <w:rFonts w:ascii="Arial" w:hAnsi="Arial" w:cs="Arial"/>
                                  <w:i/>
                                  <w:iCs/>
                                  <w:color w:val="000000"/>
                                </w:rPr>
                                <w:t>necessary</w:t>
                              </w:r>
                              <w:proofErr w:type="gramEnd"/>
                              <w:r>
                                <w:rPr>
                                  <w:rFonts w:ascii="Arial" w:hAnsi="Arial" w:cs="Arial"/>
                                  <w:i/>
                                  <w:iCs/>
                                  <w:color w:val="000000"/>
                                </w:rPr>
                                <w:t xml:space="preserve"> with secondary sources such as government agencies, corporate press releases, or trade organizations. All information is based on sources deemed reliable, but no warranty or guarantee is made as to its accuracy or completeness. Neither the information nor </w:t>
                              </w:r>
                              <w:proofErr w:type="gramStart"/>
                              <w:r>
                                <w:rPr>
                                  <w:rFonts w:ascii="Arial" w:hAnsi="Arial" w:cs="Arial"/>
                                  <w:i/>
                                  <w:iCs/>
                                  <w:color w:val="000000"/>
                                </w:rPr>
                                <w:t>any opinion</w:t>
                              </w:r>
                              <w:proofErr w:type="gramEnd"/>
                              <w:r>
                                <w:rPr>
                                  <w:rFonts w:ascii="Arial" w:hAnsi="Arial" w:cs="Arial"/>
                                  <w:i/>
                                  <w:iCs/>
                                  <w:color w:val="000000"/>
                                </w:rPr>
                                <w:t xml:space="preserve"> expressed herein constitutes a solicitation for the purchase or sale of any </w:t>
                              </w:r>
                              <w:proofErr w:type="gramStart"/>
                              <w:r>
                                <w:rPr>
                                  <w:rFonts w:ascii="Arial" w:hAnsi="Arial" w:cs="Arial"/>
                                  <w:i/>
                                  <w:iCs/>
                                  <w:color w:val="000000"/>
                                </w:rPr>
                                <w:t>securities, and</w:t>
                              </w:r>
                              <w:proofErr w:type="gramEnd"/>
                              <w:r>
                                <w:rPr>
                                  <w:rFonts w:ascii="Arial" w:hAnsi="Arial" w:cs="Arial"/>
                                  <w:i/>
                                  <w:iCs/>
                                  <w:color w:val="000000"/>
                                </w:rPr>
                                <w:t xml:space="preserve"> should not be relied on as financial advice. Forecasts are based on current conditions, subject to change, and may not come to pass. U.S. Treasury securities are guaranteed by the federal government as to the timely payment of principal and interest. The principal value of Treasury securities and other bonds fluctuates with market conditions. Bonds are subject to inflation, interest-rate, and credit risks. As interest rates rise, bond prices typically fall. A bond sold or redeemed prior to maturity may be subject to loss. Past performance </w:t>
                              </w:r>
                              <w:proofErr w:type="gramStart"/>
                              <w:r>
                                <w:rPr>
                                  <w:rFonts w:ascii="Arial" w:hAnsi="Arial" w:cs="Arial"/>
                                  <w:i/>
                                  <w:iCs/>
                                  <w:color w:val="000000"/>
                                </w:rPr>
                                <w:t>is</w:t>
                              </w:r>
                              <w:proofErr w:type="gramEnd"/>
                              <w:r>
                                <w:rPr>
                                  <w:rFonts w:ascii="Arial" w:hAnsi="Arial" w:cs="Arial"/>
                                  <w:i/>
                                  <w:iCs/>
                                  <w:color w:val="000000"/>
                                </w:rPr>
                                <w:t xml:space="preserve"> no </w:t>
                              </w:r>
                              <w:r>
                                <w:rPr>
                                  <w:rFonts w:ascii="Arial" w:hAnsi="Arial" w:cs="Arial"/>
                                  <w:i/>
                                  <w:iCs/>
                                  <w:color w:val="000000"/>
                                </w:rPr>
                                <w:lastRenderedPageBreak/>
                                <w:t>guarantee of future results. All investing involves risk, including the potential loss of principal, and there can be no guarantee that any investing strategy will be successful.</w:t>
                              </w:r>
                            </w:p>
                            <w:p w14:paraId="09705478" w14:textId="77777777" w:rsidR="002F3C2D" w:rsidRDefault="002F3C2D" w:rsidP="002F3C2D">
                              <w:pPr>
                                <w:pStyle w:val="NormalWeb"/>
                                <w:spacing w:before="0" w:beforeAutospacing="0" w:after="105" w:afterAutospacing="0"/>
                                <w:rPr>
                                  <w:rFonts w:ascii="Arial" w:hAnsi="Arial" w:cs="Arial"/>
                                  <w:color w:val="000000"/>
                                </w:rPr>
                              </w:pPr>
                              <w:r>
                                <w:rPr>
                                  <w:rFonts w:ascii="Arial" w:hAnsi="Arial" w:cs="Arial"/>
                                  <w:i/>
                                  <w:iCs/>
                                  <w:color w:val="000000"/>
                                </w:rPr>
                                <w:t xml:space="preserve">The Dow Jones Industrial Average (DJIA) is a price-weighted index composed of 30 widely traded blue-chip U.S. common stocks. The S&amp;P 500 is a market-cap weighted index composed of the common stocks of 500 largest, publicly traded companies in leading industries of the U.S. economy. The Nasdaq Composite Index is a market-value weighted index of all common stocks listed on the Nasdaq stock exchange. The Russell 2000 is a market-cap weighted index composed of 2,000 U.S. small-cap common stocks. The Global Dow is an equally weighted index of 150 widely traded blue-chip common stocks worldwide. The U.S. Dollar Index is a geometrically weighted index of the value of the U.S. dollar relative to six foreign currencies. </w:t>
                              </w:r>
                              <w:proofErr w:type="gramStart"/>
                              <w:r>
                                <w:rPr>
                                  <w:rFonts w:ascii="Arial" w:hAnsi="Arial" w:cs="Arial"/>
                                  <w:i/>
                                  <w:iCs/>
                                  <w:color w:val="000000"/>
                                </w:rPr>
                                <w:t>Market</w:t>
                              </w:r>
                              <w:proofErr w:type="gramEnd"/>
                              <w:r>
                                <w:rPr>
                                  <w:rFonts w:ascii="Arial" w:hAnsi="Arial" w:cs="Arial"/>
                                  <w:i/>
                                  <w:iCs/>
                                  <w:color w:val="000000"/>
                                </w:rPr>
                                <w:t xml:space="preserve"> indexes listed are unmanaged and are not available for direct investment.</w:t>
                              </w:r>
                            </w:p>
                          </w:tc>
                        </w:tr>
                      </w:tbl>
                      <w:p w14:paraId="05B2D33C" w14:textId="77777777" w:rsidR="002F3C2D" w:rsidRDefault="002F3C2D" w:rsidP="002F3C2D">
                        <w:pPr>
                          <w:rPr>
                            <w:rFonts w:ascii="Times New Roman" w:hAnsi="Times New Roman" w:cs="Times New Roman"/>
                          </w:rPr>
                        </w:pPr>
                      </w:p>
                    </w:tc>
                  </w:tr>
                </w:tbl>
                <w:p w14:paraId="1467DE62" w14:textId="77777777" w:rsidR="002F3C2D" w:rsidRDefault="002F3C2D" w:rsidP="002F3C2D">
                  <w:pPr>
                    <w:rPr>
                      <w:rFonts w:ascii="Arial" w:hAnsi="Arial" w:cs="Arial"/>
                      <w:color w:val="000000"/>
                      <w:sz w:val="20"/>
                      <w:szCs w:val="20"/>
                    </w:rPr>
                  </w:pPr>
                </w:p>
              </w:tc>
            </w:tr>
            <w:tr w:rsidR="002F3C2D" w14:paraId="28E56EFE" w14:textId="77777777" w:rsidTr="002F3C2D">
              <w:trPr>
                <w:tblCellSpacing w:w="0" w:type="dxa"/>
              </w:trPr>
              <w:tc>
                <w:tcPr>
                  <w:tcW w:w="0" w:type="auto"/>
                  <w:shd w:val="clear" w:color="auto" w:fill="FFFFFF"/>
                  <w:tcMar>
                    <w:top w:w="0" w:type="dxa"/>
                    <w:left w:w="45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025"/>
                    <w:gridCol w:w="5025"/>
                  </w:tblGrid>
                  <w:tr w:rsidR="002F3C2D" w14:paraId="33340AA7" w14:textId="77777777">
                    <w:trPr>
                      <w:tblCellSpacing w:w="0" w:type="dxa"/>
                    </w:trPr>
                    <w:tc>
                      <w:tcPr>
                        <w:tcW w:w="2500" w:type="pct"/>
                        <w:tcMar>
                          <w:top w:w="150" w:type="dxa"/>
                          <w:left w:w="0" w:type="dxa"/>
                          <w:bottom w:w="75" w:type="dxa"/>
                          <w:right w:w="0" w:type="dxa"/>
                        </w:tcMar>
                        <w:vAlign w:val="center"/>
                        <w:hideMark/>
                      </w:tcPr>
                      <w:p w14:paraId="5D054078" w14:textId="5DE3DB3C" w:rsidR="002F3C2D" w:rsidRDefault="002F3C2D" w:rsidP="002F3C2D">
                        <w:pPr>
                          <w:rPr>
                            <w:sz w:val="24"/>
                            <w:szCs w:val="24"/>
                          </w:rPr>
                        </w:pPr>
                      </w:p>
                    </w:tc>
                    <w:tc>
                      <w:tcPr>
                        <w:tcW w:w="2500" w:type="pct"/>
                        <w:tcMar>
                          <w:top w:w="150" w:type="dxa"/>
                          <w:left w:w="0" w:type="dxa"/>
                          <w:bottom w:w="75" w:type="dxa"/>
                          <w:right w:w="0" w:type="dxa"/>
                        </w:tcMar>
                        <w:vAlign w:val="center"/>
                        <w:hideMark/>
                      </w:tcPr>
                      <w:p w14:paraId="2D871B6E" w14:textId="44C89408" w:rsidR="002F3C2D" w:rsidRDefault="002F3C2D" w:rsidP="002F3C2D">
                        <w:pPr>
                          <w:jc w:val="right"/>
                        </w:pPr>
                        <w:r>
                          <w:rPr>
                            <w:b/>
                            <w:bCs/>
                            <w:sz w:val="18"/>
                            <w:szCs w:val="18"/>
                          </w:rPr>
                          <w:t>T</w:t>
                        </w:r>
                      </w:p>
                    </w:tc>
                  </w:tr>
                </w:tbl>
                <w:p w14:paraId="6E896B47" w14:textId="77777777" w:rsidR="002F3C2D" w:rsidRDefault="002F3C2D" w:rsidP="002F3C2D">
                  <w:pPr>
                    <w:rPr>
                      <w:rFonts w:ascii="Arial" w:hAnsi="Arial" w:cs="Arial"/>
                      <w:color w:val="000000"/>
                      <w:sz w:val="20"/>
                      <w:szCs w:val="20"/>
                    </w:rPr>
                  </w:pPr>
                </w:p>
              </w:tc>
            </w:tr>
            <w:tr w:rsidR="002F3C2D" w14:paraId="5500D6B5" w14:textId="77777777" w:rsidTr="002F3C2D">
              <w:trPr>
                <w:tblCellSpacing w:w="0" w:type="dxa"/>
              </w:trPr>
              <w:tc>
                <w:tcPr>
                  <w:tcW w:w="0" w:type="auto"/>
                  <w:shd w:val="clear" w:color="auto" w:fill="FFFFFF"/>
                  <w:tcMar>
                    <w:top w:w="0" w:type="dxa"/>
                    <w:left w:w="450" w:type="dxa"/>
                    <w:bottom w:w="450" w:type="dxa"/>
                    <w:right w:w="300" w:type="dxa"/>
                  </w:tcMar>
                  <w:vAlign w:val="center"/>
                  <w:hideMark/>
                </w:tcPr>
                <w:tbl>
                  <w:tblPr>
                    <w:tblW w:w="5000" w:type="pct"/>
                    <w:tblCellSpacing w:w="0" w:type="dxa"/>
                    <w:tblBorders>
                      <w:top w:val="single" w:sz="6" w:space="0" w:color="999999"/>
                    </w:tblBorders>
                    <w:shd w:val="clear" w:color="auto" w:fill="FFFFFF"/>
                    <w:tblCellMar>
                      <w:top w:w="75" w:type="dxa"/>
                      <w:left w:w="0" w:type="dxa"/>
                      <w:right w:w="0" w:type="dxa"/>
                    </w:tblCellMar>
                    <w:tblLook w:val="04A0" w:firstRow="1" w:lastRow="0" w:firstColumn="1" w:lastColumn="0" w:noHBand="0" w:noVBand="1"/>
                  </w:tblPr>
                  <w:tblGrid>
                    <w:gridCol w:w="10050"/>
                  </w:tblGrid>
                  <w:tr w:rsidR="002F3C2D" w14:paraId="4FACA2C6" w14:textId="77777777">
                    <w:trPr>
                      <w:tblCellSpacing w:w="0" w:type="dxa"/>
                    </w:trPr>
                    <w:tc>
                      <w:tcPr>
                        <w:tcW w:w="0" w:type="auto"/>
                        <w:shd w:val="clear" w:color="auto" w:fill="FFFFFF"/>
                        <w:vAlign w:val="center"/>
                        <w:hideMark/>
                      </w:tcPr>
                      <w:p w14:paraId="04DFC4D8" w14:textId="77777777" w:rsidR="002F3C2D" w:rsidRDefault="002F3C2D" w:rsidP="002F3C2D">
                        <w:pPr>
                          <w:pStyle w:val="NormalWeb"/>
                        </w:pPr>
                        <w:r>
                          <w:t>IMPORTANT DISCLOSURES</w:t>
                        </w:r>
                      </w:p>
                      <w:p w14:paraId="178F3949" w14:textId="77777777" w:rsidR="002F3C2D" w:rsidRDefault="002F3C2D" w:rsidP="002F3C2D">
                        <w:pPr>
                          <w:pStyle w:val="NormalWeb"/>
                        </w:pPr>
                        <w:r>
                          <w:t>Note: Advisory services offered through Carolina Wealth Advisors (CWA) and The Strategic Financial Alliance, Inc. (SFA), registered investment advisers. Securities offered through The Strategic Financial Alliance, Inc. (SFA), member FINRA/SIPC. Christopher St. John, M. Radcliff Lowery, and Christy Horlacher, are registered representatives and investment adviser representatives of SFA, which is otherwise unaffiliated with CWA. CWA and SFA do not provide any tax or legal advice. SFA corporate offices 678-954-4000.</w:t>
                        </w:r>
                      </w:p>
                      <w:p w14:paraId="6C955C71" w14:textId="77777777" w:rsidR="002F3C2D" w:rsidRDefault="002F3C2D" w:rsidP="002F3C2D">
                        <w:pPr>
                          <w:pStyle w:val="NormalWeb"/>
                        </w:pPr>
                        <w:r>
                          <w:t>Insurance Products guarantees are subject to the financial strength and claims-paying ability of the issuing company, and may be subject to restrictions, limitations or early withdrawal fees. Annuities are not FDIC insured.</w:t>
                        </w:r>
                      </w:p>
                      <w:p w14:paraId="39083A5C" w14:textId="77777777" w:rsidR="002F3C2D" w:rsidRDefault="002F3C2D" w:rsidP="002F3C2D">
                        <w:pPr>
                          <w:pStyle w:val="NormalWeb"/>
                        </w:pPr>
                        <w:r>
                          <w:t>Broadridge Investor Communication Solutions, Inc. does not provide investment, tax, or legal advice. The information presented here is not specific to any individual's personal circumstances.</w:t>
                        </w:r>
                      </w:p>
                      <w:p w14:paraId="0BB3B710" w14:textId="77777777" w:rsidR="002F3C2D" w:rsidRDefault="002F3C2D" w:rsidP="002F3C2D">
                        <w:pPr>
                          <w:pStyle w:val="NormalWeb"/>
                        </w:pPr>
                        <w:r>
                          <w:t>To the extent that this material concerns tax matters, it is not intended or written to be used, and cannot be used, by a taxpayer for the purpose of avoiding penalties that may be imposed by law. Each taxpayer should seek independent advice from a tax professional based on his or her individual circumstances.</w:t>
                        </w:r>
                      </w:p>
                      <w:p w14:paraId="088299E9" w14:textId="77777777" w:rsidR="002F3C2D" w:rsidRDefault="002F3C2D" w:rsidP="002F3C2D">
                        <w:pPr>
                          <w:pStyle w:val="NormalWeb"/>
                        </w:pPr>
                        <w:r>
                          <w:lastRenderedPageBreak/>
                          <w:t>These materials are provided for general information and educational purposes based upon publicly available information from sources believed to be reliable—we cannot assure the accuracy or completeness of these materials. The information in these materials may change at any time and without notice.</w:t>
                        </w:r>
                      </w:p>
                      <w:p w14:paraId="155742DC" w14:textId="095E6EF5" w:rsidR="002F3C2D" w:rsidRDefault="002F3C2D" w:rsidP="002F3C2D">
                        <w:r>
                          <w:br/>
                          <w:t>This communication is strictly intended for individuals residing in the state(s) of AZ, CA, CT, FL, GA, IL, IN, KY, MD, MA, MT, NJ, NM, NY, NC, OK, PA, SC, TX, VA, WA and WV. No offers may be made or accepted from any resident outside the specific states referenced.</w:t>
                        </w:r>
                      </w:p>
                    </w:tc>
                  </w:tr>
                  <w:tr w:rsidR="002F3C2D" w14:paraId="6D672F7E" w14:textId="77777777">
                    <w:trPr>
                      <w:tblCellSpacing w:w="0" w:type="dxa"/>
                    </w:trPr>
                    <w:tc>
                      <w:tcPr>
                        <w:tcW w:w="0" w:type="auto"/>
                        <w:shd w:val="clear" w:color="auto" w:fill="FFFFFF"/>
                        <w:vAlign w:val="center"/>
                        <w:hideMark/>
                      </w:tcPr>
                      <w:p w14:paraId="2CED7041" w14:textId="77777777" w:rsidR="002F3C2D" w:rsidRDefault="002F3C2D" w:rsidP="002F3C2D">
                        <w:pPr>
                          <w:pStyle w:val="NormalWeb"/>
                          <w:rPr>
                            <w:b/>
                            <w:bCs/>
                            <w:sz w:val="16"/>
                            <w:szCs w:val="16"/>
                          </w:rPr>
                        </w:pPr>
                        <w:r>
                          <w:rPr>
                            <w:b/>
                            <w:bCs/>
                            <w:sz w:val="16"/>
                            <w:szCs w:val="16"/>
                          </w:rPr>
                          <w:lastRenderedPageBreak/>
                          <w:t>Prepared by Broadridge Advisor Solutions Copyright 2025.</w:t>
                        </w:r>
                      </w:p>
                      <w:p w14:paraId="2BF83DCA" w14:textId="06D35E89" w:rsidR="002F3C2D" w:rsidRDefault="002F3C2D" w:rsidP="002F3C2D">
                        <w:pPr>
                          <w:pStyle w:val="NormalWeb"/>
                          <w:rPr>
                            <w:sz w:val="16"/>
                            <w:szCs w:val="16"/>
                          </w:rPr>
                        </w:pPr>
                      </w:p>
                    </w:tc>
                  </w:tr>
                </w:tbl>
                <w:p w14:paraId="2A95EF0F" w14:textId="77777777" w:rsidR="002F3C2D" w:rsidRDefault="002F3C2D" w:rsidP="002F3C2D">
                  <w:pPr>
                    <w:rPr>
                      <w:rFonts w:ascii="Arial" w:hAnsi="Arial" w:cs="Arial"/>
                      <w:color w:val="000000"/>
                      <w:sz w:val="20"/>
                      <w:szCs w:val="20"/>
                    </w:rPr>
                  </w:pPr>
                </w:p>
              </w:tc>
            </w:tr>
          </w:tbl>
          <w:p w14:paraId="5A9FAA05" w14:textId="77777777" w:rsidR="00861EF8" w:rsidRPr="00861EF8" w:rsidRDefault="00861EF8" w:rsidP="00861EF8">
            <w:pPr>
              <w:spacing w:after="0" w:line="240" w:lineRule="auto"/>
              <w:rPr>
                <w:rFonts w:ascii="Arial" w:eastAsia="Times New Roman" w:hAnsi="Arial" w:cs="Arial"/>
                <w:color w:val="000000"/>
                <w:sz w:val="20"/>
                <w:szCs w:val="20"/>
              </w:rPr>
            </w:pPr>
          </w:p>
        </w:tc>
      </w:tr>
    </w:tbl>
    <w:p w14:paraId="303AC8D8" w14:textId="77777777" w:rsidR="00B84669" w:rsidRPr="00861EF8" w:rsidRDefault="00B84669" w:rsidP="00861EF8"/>
    <w:sectPr w:rsidR="00B84669" w:rsidRPr="00861EF8" w:rsidSect="00D34ADD">
      <w:headerReference w:type="default" r:id="rId8"/>
      <w:footerReference w:type="default" r:id="rId9"/>
      <w:pgSz w:w="12240" w:h="15840"/>
      <w:pgMar w:top="720" w:right="720" w:bottom="720" w:left="72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40A08" w14:textId="77777777" w:rsidR="007B01F7" w:rsidRDefault="007B01F7" w:rsidP="00971BD1">
      <w:pPr>
        <w:spacing w:after="0" w:line="240" w:lineRule="auto"/>
      </w:pPr>
      <w:r>
        <w:separator/>
      </w:r>
    </w:p>
  </w:endnote>
  <w:endnote w:type="continuationSeparator" w:id="0">
    <w:p w14:paraId="0846B6A3" w14:textId="77777777" w:rsidR="007B01F7" w:rsidRDefault="007B01F7" w:rsidP="0097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C0E4" w14:textId="77777777" w:rsidR="00971BD1" w:rsidRDefault="00C95E64">
    <w:pPr>
      <w:pStyle w:val="Footer"/>
    </w:pPr>
    <w:r>
      <w:rPr>
        <w:rFonts w:ascii="Arial" w:eastAsia="Times New Roman" w:hAnsi="Arial" w:cs="Arial"/>
        <w:noProof/>
        <w:color w:val="228E92"/>
        <w:sz w:val="20"/>
        <w:szCs w:val="20"/>
      </w:rPr>
      <mc:AlternateContent>
        <mc:Choice Requires="wps">
          <w:drawing>
            <wp:anchor distT="0" distB="0" distL="114300" distR="114300" simplePos="0" relativeHeight="251659264" behindDoc="0" locked="0" layoutInCell="1" allowOverlap="1" wp14:anchorId="1D6E1087" wp14:editId="62DAB390">
              <wp:simplePos x="0" y="0"/>
              <wp:positionH relativeFrom="page">
                <wp:align>left</wp:align>
              </wp:positionH>
              <wp:positionV relativeFrom="paragraph">
                <wp:posOffset>50799</wp:posOffset>
              </wp:positionV>
              <wp:extent cx="7772400" cy="9048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04875"/>
                      </a:xfrm>
                      <a:prstGeom prst="rect">
                        <a:avLst/>
                      </a:prstGeom>
                      <a:solidFill>
                        <a:srgbClr val="0E3B34"/>
                      </a:solidFill>
                      <a:ln w="9525">
                        <a:solidFill>
                          <a:srgbClr val="000000"/>
                        </a:solidFill>
                        <a:miter lim="800000"/>
                        <a:headEnd/>
                        <a:tailEnd/>
                      </a:ln>
                    </wps:spPr>
                    <wps:txbx>
                      <w:txbxContent>
                        <w:p w14:paraId="45565BE9" w14:textId="77777777" w:rsidR="00D34ADD" w:rsidRDefault="00D34ADD" w:rsidP="006B472E">
                          <w:pPr>
                            <w:pStyle w:val="NoSpacing"/>
                            <w:jc w:val="center"/>
                            <w:rPr>
                              <w:rStyle w:val="Hyperlink"/>
                              <w:rFonts w:ascii="Arial" w:eastAsia="Times New Roman" w:hAnsi="Arial" w:cs="Arial"/>
                              <w:color w:val="FFFFFF"/>
                              <w:sz w:val="20"/>
                              <w:szCs w:val="20"/>
                              <w:u w:val="none"/>
                              <w:bdr w:val="none" w:sz="0" w:space="0" w:color="auto" w:frame="1"/>
                            </w:rPr>
                          </w:pPr>
                        </w:p>
                        <w:p w14:paraId="2874912B" w14:textId="3B83AB7B" w:rsidR="00D737A2" w:rsidRPr="007A2564" w:rsidRDefault="00D34ADD" w:rsidP="006B472E">
                          <w:pPr>
                            <w:pStyle w:val="NoSpacing"/>
                            <w:jc w:val="center"/>
                            <w:rPr>
                              <w:rStyle w:val="Hyperlink"/>
                              <w:rFonts w:ascii="Arial" w:eastAsia="Times New Roman" w:hAnsi="Arial" w:cs="Arial"/>
                              <w:color w:val="FFFFFF"/>
                              <w:sz w:val="20"/>
                              <w:szCs w:val="20"/>
                              <w:u w:val="none"/>
                              <w:bdr w:val="none" w:sz="0" w:space="0" w:color="auto" w:frame="1"/>
                            </w:rPr>
                          </w:pPr>
                          <w:r w:rsidRPr="00D34ADD">
                            <w:rPr>
                              <w:rStyle w:val="Hyperlink"/>
                              <w:rFonts w:ascii="Arial" w:eastAsia="Times New Roman" w:hAnsi="Arial" w:cs="Arial"/>
                              <w:color w:val="FFFFFF"/>
                              <w:sz w:val="20"/>
                              <w:szCs w:val="20"/>
                              <w:u w:val="none"/>
                              <w:bdr w:val="none" w:sz="0" w:space="0" w:color="auto" w:frame="1"/>
                            </w:rPr>
                            <w:tab/>
                            <w:t>Advisory services offered through 2CG, LLC dba Carolina Wealth Advisors and The Strategic Financial Alliance, Inc., registered investment advisers. Securities offered through The Strategic Financial Alliance, Inc. (SFA), member FINRA/SIPC. Carolina Wealth Advisors and SFA are not affiliated entities. Carolina Wealth Advisors and SFA do not provide any tax or legal advice.  SFA corporate offices 678-954-4000.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E1087" id="Rectangle 2" o:spid="_x0000_s1026" style="position:absolute;margin-left:0;margin-top:4pt;width:612pt;height:71.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" fillcolor="#0e3b34">
              <v:textbox>
                <w:txbxContent>
                  <w:p w14:paraId="45565BE9" w14:textId="77777777" w:rsidR="00D34ADD" w:rsidRDefault="00D34ADD" w:rsidP="006B472E">
                    <w:pPr>
                      <w:pStyle w:val="NoSpacing"/>
                      <w:jc w:val="center"/>
                      <w:rPr>
                        <w:rStyle w:val="Hyperlink"/>
                        <w:rFonts w:ascii="Arial" w:eastAsia="Times New Roman" w:hAnsi="Arial" w:cs="Arial"/>
                        <w:color w:val="FFFFFF"/>
                        <w:sz w:val="20"/>
                        <w:szCs w:val="20"/>
                        <w:u w:val="none"/>
                        <w:bdr w:val="none" w:sz="0" w:space="0" w:color="auto" w:frame="1"/>
                      </w:rPr>
                    </w:pPr>
                  </w:p>
                  <w:p w14:paraId="2874912B" w14:textId="3B83AB7B" w:rsidR="00D737A2" w:rsidRPr="007A2564" w:rsidRDefault="00D34ADD" w:rsidP="006B472E">
                    <w:pPr>
                      <w:pStyle w:val="NoSpacing"/>
                      <w:jc w:val="center"/>
                      <w:rPr>
                        <w:rStyle w:val="Hyperlink"/>
                        <w:rFonts w:ascii="Arial" w:eastAsia="Times New Roman" w:hAnsi="Arial" w:cs="Arial"/>
                        <w:color w:val="FFFFFF"/>
                        <w:sz w:val="20"/>
                        <w:szCs w:val="20"/>
                        <w:u w:val="none"/>
                        <w:bdr w:val="none" w:sz="0" w:space="0" w:color="auto" w:frame="1"/>
                      </w:rPr>
                    </w:pPr>
                    <w:r w:rsidRPr="00D34ADD">
                      <w:rPr>
                        <w:rStyle w:val="Hyperlink"/>
                        <w:rFonts w:ascii="Arial" w:eastAsia="Times New Roman" w:hAnsi="Arial" w:cs="Arial"/>
                        <w:color w:val="FFFFFF"/>
                        <w:sz w:val="20"/>
                        <w:szCs w:val="20"/>
                        <w:u w:val="none"/>
                        <w:bdr w:val="none" w:sz="0" w:space="0" w:color="auto" w:frame="1"/>
                      </w:rPr>
                      <w:tab/>
                      <w:t>Advisory services offered through 2CG, LLC dba Carolina Wealth Advisors and The Strategic Financial Alliance, Inc., registered investment advisers. Securities offered through The Strategic Financial Alliance, Inc. (SFA), member FINRA/SIPC. Carolina Wealth Advisors and SFA are not affiliated entities. Carolina Wealth Advisors and SFA do not provide any tax or legal advice.  SFA corporate offices 678-954-4000.</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FE638" w14:textId="77777777" w:rsidR="007B01F7" w:rsidRDefault="007B01F7" w:rsidP="00971BD1">
      <w:pPr>
        <w:spacing w:after="0" w:line="240" w:lineRule="auto"/>
      </w:pPr>
      <w:r>
        <w:separator/>
      </w:r>
    </w:p>
  </w:footnote>
  <w:footnote w:type="continuationSeparator" w:id="0">
    <w:p w14:paraId="2CCCDC27" w14:textId="77777777" w:rsidR="007B01F7" w:rsidRDefault="007B01F7" w:rsidP="0097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E7CC" w14:textId="77777777" w:rsidR="00971BD1" w:rsidRDefault="00C95E64" w:rsidP="007D18F7">
    <w:pPr>
      <w:pStyle w:val="Header"/>
      <w:jc w:val="center"/>
    </w:pPr>
    <w:r>
      <w:rPr>
        <w:noProof/>
      </w:rPr>
      <mc:AlternateContent>
        <mc:Choice Requires="wps">
          <w:drawing>
            <wp:anchor distT="0" distB="0" distL="114300" distR="114300" simplePos="0" relativeHeight="251658240" behindDoc="0" locked="0" layoutInCell="1" allowOverlap="1" wp14:anchorId="566A1A41" wp14:editId="3F7E05A2">
              <wp:simplePos x="0" y="0"/>
              <wp:positionH relativeFrom="column">
                <wp:posOffset>-447675</wp:posOffset>
              </wp:positionH>
              <wp:positionV relativeFrom="paragraph">
                <wp:posOffset>-457200</wp:posOffset>
              </wp:positionV>
              <wp:extent cx="7753350" cy="409575"/>
              <wp:effectExtent l="0" t="0" r="0"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409575"/>
                      </a:xfrm>
                      <a:prstGeom prst="rect">
                        <a:avLst/>
                      </a:prstGeom>
                      <a:solidFill>
                        <a:srgbClr val="0E3B3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34CFF" id="Rectangle 1" o:spid="_x0000_s1026" style="position:absolute;margin-left:-35.25pt;margin-top:-36pt;width:610.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" fillcolor="#0e3b34"/>
          </w:pict>
        </mc:Fallback>
      </mc:AlternateContent>
    </w:r>
    <w:r w:rsidR="00971BD1">
      <w:rPr>
        <w:noProof/>
      </w:rPr>
      <w:drawing>
        <wp:inline distT="0" distB="0" distL="0" distR="0" wp14:anchorId="60AADF68" wp14:editId="16498488">
          <wp:extent cx="1657350" cy="1290366"/>
          <wp:effectExtent l="0" t="0" r="0" b="5080"/>
          <wp:docPr id="1" name="Picture 1" descr="M:\Files - Marketing\Logos\Ranking Company\logo-carolina-wealth_green_without_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iles - Marketing\Logos\Ranking Company\logo-carolina-wealth_green_without_circle.jpg"/>
                  <pic:cNvPicPr>
                    <a:picLocks noChangeAspect="1" noChangeArrowheads="1"/>
                  </pic:cNvPicPr>
                </pic:nvPicPr>
                <pic:blipFill>
                  <a:blip r:embed="rId1" cstate="print"/>
                  <a:srcRect/>
                  <a:stretch>
                    <a:fillRect/>
                  </a:stretch>
                </pic:blipFill>
                <pic:spPr bwMode="auto">
                  <a:xfrm>
                    <a:off x="0" y="0"/>
                    <a:ext cx="1672108" cy="1301856"/>
                  </a:xfrm>
                  <a:prstGeom prst="rect">
                    <a:avLst/>
                  </a:prstGeom>
                  <a:noFill/>
                  <a:ln w="9525">
                    <a:noFill/>
                    <a:miter lim="800000"/>
                    <a:headEnd/>
                    <a:tailEnd/>
                  </a:ln>
                </pic:spPr>
              </pic:pic>
            </a:graphicData>
          </a:graphic>
        </wp:inline>
      </w:drawing>
    </w:r>
  </w:p>
  <w:p w14:paraId="41A53F7F" w14:textId="77777777" w:rsidR="007D18F7" w:rsidRPr="006B472E" w:rsidRDefault="007D18F7" w:rsidP="007D18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1C5C"/>
    <w:multiLevelType w:val="multilevel"/>
    <w:tmpl w:val="5898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16F2C"/>
    <w:multiLevelType w:val="multilevel"/>
    <w:tmpl w:val="5D1C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920C0"/>
    <w:multiLevelType w:val="multilevel"/>
    <w:tmpl w:val="4258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66BB8"/>
    <w:multiLevelType w:val="multilevel"/>
    <w:tmpl w:val="86A2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0C29CF"/>
    <w:multiLevelType w:val="multilevel"/>
    <w:tmpl w:val="3FC4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278D4"/>
    <w:multiLevelType w:val="multilevel"/>
    <w:tmpl w:val="6162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0A40D4"/>
    <w:multiLevelType w:val="multilevel"/>
    <w:tmpl w:val="74F8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F9592A"/>
    <w:multiLevelType w:val="multilevel"/>
    <w:tmpl w:val="F7E6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1A18F9"/>
    <w:multiLevelType w:val="multilevel"/>
    <w:tmpl w:val="798E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3A5C32"/>
    <w:multiLevelType w:val="multilevel"/>
    <w:tmpl w:val="4504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065B92"/>
    <w:multiLevelType w:val="multilevel"/>
    <w:tmpl w:val="5316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C62400"/>
    <w:multiLevelType w:val="multilevel"/>
    <w:tmpl w:val="A48A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AD1027"/>
    <w:multiLevelType w:val="multilevel"/>
    <w:tmpl w:val="B57E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C21AAD"/>
    <w:multiLevelType w:val="multilevel"/>
    <w:tmpl w:val="0552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740E06"/>
    <w:multiLevelType w:val="multilevel"/>
    <w:tmpl w:val="4F14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B4AEB"/>
    <w:multiLevelType w:val="multilevel"/>
    <w:tmpl w:val="B7E2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B7423E"/>
    <w:multiLevelType w:val="multilevel"/>
    <w:tmpl w:val="EE74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337CD7"/>
    <w:multiLevelType w:val="multilevel"/>
    <w:tmpl w:val="104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72338D"/>
    <w:multiLevelType w:val="multilevel"/>
    <w:tmpl w:val="BBC0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D80744"/>
    <w:multiLevelType w:val="multilevel"/>
    <w:tmpl w:val="FABC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286EC9"/>
    <w:multiLevelType w:val="multilevel"/>
    <w:tmpl w:val="E8F6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4F08F3"/>
    <w:multiLevelType w:val="multilevel"/>
    <w:tmpl w:val="076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AF5666"/>
    <w:multiLevelType w:val="multilevel"/>
    <w:tmpl w:val="8A68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3599644">
    <w:abstractNumId w:val="1"/>
  </w:num>
  <w:num w:numId="2" w16cid:durableId="1669553981">
    <w:abstractNumId w:val="7"/>
  </w:num>
  <w:num w:numId="3" w16cid:durableId="1255090108">
    <w:abstractNumId w:val="22"/>
  </w:num>
  <w:num w:numId="4" w16cid:durableId="1557624117">
    <w:abstractNumId w:val="5"/>
  </w:num>
  <w:num w:numId="5" w16cid:durableId="1755543061">
    <w:abstractNumId w:val="12"/>
  </w:num>
  <w:num w:numId="6" w16cid:durableId="369889047">
    <w:abstractNumId w:val="13"/>
  </w:num>
  <w:num w:numId="7" w16cid:durableId="168909728">
    <w:abstractNumId w:val="2"/>
  </w:num>
  <w:num w:numId="8" w16cid:durableId="2145343867">
    <w:abstractNumId w:val="15"/>
  </w:num>
  <w:num w:numId="9" w16cid:durableId="743574335">
    <w:abstractNumId w:val="18"/>
  </w:num>
  <w:num w:numId="10" w16cid:durableId="2123377453">
    <w:abstractNumId w:val="14"/>
  </w:num>
  <w:num w:numId="11" w16cid:durableId="1977877386">
    <w:abstractNumId w:val="0"/>
  </w:num>
  <w:num w:numId="12" w16cid:durableId="8919443">
    <w:abstractNumId w:val="19"/>
  </w:num>
  <w:num w:numId="13" w16cid:durableId="604381803">
    <w:abstractNumId w:val="11"/>
  </w:num>
  <w:num w:numId="14" w16cid:durableId="990788333">
    <w:abstractNumId w:val="6"/>
  </w:num>
  <w:num w:numId="15" w16cid:durableId="68696438">
    <w:abstractNumId w:val="9"/>
  </w:num>
  <w:num w:numId="16" w16cid:durableId="1429961237">
    <w:abstractNumId w:val="16"/>
  </w:num>
  <w:num w:numId="17" w16cid:durableId="529034581">
    <w:abstractNumId w:val="8"/>
  </w:num>
  <w:num w:numId="18" w16cid:durableId="1585065864">
    <w:abstractNumId w:val="4"/>
  </w:num>
  <w:num w:numId="19" w16cid:durableId="1241215690">
    <w:abstractNumId w:val="10"/>
  </w:num>
  <w:num w:numId="20" w16cid:durableId="1856917595">
    <w:abstractNumId w:val="17"/>
  </w:num>
  <w:num w:numId="21" w16cid:durableId="1382511066">
    <w:abstractNumId w:val="21"/>
  </w:num>
  <w:num w:numId="22" w16cid:durableId="1991858805">
    <w:abstractNumId w:val="3"/>
  </w:num>
  <w:num w:numId="23" w16cid:durableId="111308781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0e3b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69"/>
    <w:rsid w:val="000E21CE"/>
    <w:rsid w:val="00120B31"/>
    <w:rsid w:val="00142D99"/>
    <w:rsid w:val="001647B2"/>
    <w:rsid w:val="00165CD8"/>
    <w:rsid w:val="00192273"/>
    <w:rsid w:val="001B153A"/>
    <w:rsid w:val="001B2BF5"/>
    <w:rsid w:val="001B44DB"/>
    <w:rsid w:val="002402D8"/>
    <w:rsid w:val="00250914"/>
    <w:rsid w:val="00267D3E"/>
    <w:rsid w:val="00267DDD"/>
    <w:rsid w:val="00275926"/>
    <w:rsid w:val="00296F0D"/>
    <w:rsid w:val="002A49E7"/>
    <w:rsid w:val="002B1D52"/>
    <w:rsid w:val="002E16AD"/>
    <w:rsid w:val="002F3C2D"/>
    <w:rsid w:val="00313D5B"/>
    <w:rsid w:val="00335084"/>
    <w:rsid w:val="0033595A"/>
    <w:rsid w:val="00346C3A"/>
    <w:rsid w:val="003631A1"/>
    <w:rsid w:val="00395DA5"/>
    <w:rsid w:val="003B03E9"/>
    <w:rsid w:val="003C6225"/>
    <w:rsid w:val="003D2E42"/>
    <w:rsid w:val="003E003D"/>
    <w:rsid w:val="00412ACD"/>
    <w:rsid w:val="004439A2"/>
    <w:rsid w:val="004453BA"/>
    <w:rsid w:val="004D77BE"/>
    <w:rsid w:val="00500608"/>
    <w:rsid w:val="005100A9"/>
    <w:rsid w:val="00514715"/>
    <w:rsid w:val="005151EA"/>
    <w:rsid w:val="0054763D"/>
    <w:rsid w:val="00547A7D"/>
    <w:rsid w:val="005A3BA5"/>
    <w:rsid w:val="00607617"/>
    <w:rsid w:val="00636E0B"/>
    <w:rsid w:val="00680C4F"/>
    <w:rsid w:val="00683DB8"/>
    <w:rsid w:val="0068595F"/>
    <w:rsid w:val="006A1999"/>
    <w:rsid w:val="006B41B2"/>
    <w:rsid w:val="006B472E"/>
    <w:rsid w:val="006C0C13"/>
    <w:rsid w:val="006E735F"/>
    <w:rsid w:val="00714C47"/>
    <w:rsid w:val="007459CF"/>
    <w:rsid w:val="007468E5"/>
    <w:rsid w:val="0075325B"/>
    <w:rsid w:val="00770127"/>
    <w:rsid w:val="00797EAD"/>
    <w:rsid w:val="007A2564"/>
    <w:rsid w:val="007B01F7"/>
    <w:rsid w:val="007B6C6F"/>
    <w:rsid w:val="007C07F9"/>
    <w:rsid w:val="007D18F7"/>
    <w:rsid w:val="007D7D92"/>
    <w:rsid w:val="007D7F9E"/>
    <w:rsid w:val="007F46C9"/>
    <w:rsid w:val="0080238D"/>
    <w:rsid w:val="00824A4C"/>
    <w:rsid w:val="008575B0"/>
    <w:rsid w:val="00861EF8"/>
    <w:rsid w:val="00871405"/>
    <w:rsid w:val="00887F9A"/>
    <w:rsid w:val="0089306D"/>
    <w:rsid w:val="009279F5"/>
    <w:rsid w:val="0093324F"/>
    <w:rsid w:val="00935D86"/>
    <w:rsid w:val="00942491"/>
    <w:rsid w:val="00950BDD"/>
    <w:rsid w:val="00953166"/>
    <w:rsid w:val="00971BD1"/>
    <w:rsid w:val="009944FA"/>
    <w:rsid w:val="009A5535"/>
    <w:rsid w:val="009B1675"/>
    <w:rsid w:val="009C277E"/>
    <w:rsid w:val="009C5617"/>
    <w:rsid w:val="009C5BB9"/>
    <w:rsid w:val="009F6549"/>
    <w:rsid w:val="00A93CAC"/>
    <w:rsid w:val="00AC5F81"/>
    <w:rsid w:val="00AD0E56"/>
    <w:rsid w:val="00AD52AC"/>
    <w:rsid w:val="00B2380B"/>
    <w:rsid w:val="00B50950"/>
    <w:rsid w:val="00B51831"/>
    <w:rsid w:val="00B72465"/>
    <w:rsid w:val="00B7691B"/>
    <w:rsid w:val="00B84669"/>
    <w:rsid w:val="00BA3A80"/>
    <w:rsid w:val="00BF104B"/>
    <w:rsid w:val="00BF1B5D"/>
    <w:rsid w:val="00C27B0F"/>
    <w:rsid w:val="00C95E64"/>
    <w:rsid w:val="00CF1799"/>
    <w:rsid w:val="00CF57D8"/>
    <w:rsid w:val="00D10444"/>
    <w:rsid w:val="00D1713B"/>
    <w:rsid w:val="00D24621"/>
    <w:rsid w:val="00D34ADD"/>
    <w:rsid w:val="00D676BF"/>
    <w:rsid w:val="00D7201D"/>
    <w:rsid w:val="00D737A2"/>
    <w:rsid w:val="00D74D32"/>
    <w:rsid w:val="00DC266B"/>
    <w:rsid w:val="00DE6682"/>
    <w:rsid w:val="00E301B3"/>
    <w:rsid w:val="00E961F9"/>
    <w:rsid w:val="00EB7555"/>
    <w:rsid w:val="00ED4AD5"/>
    <w:rsid w:val="00EE4327"/>
    <w:rsid w:val="00EF5201"/>
    <w:rsid w:val="00F10CF0"/>
    <w:rsid w:val="00F14A5A"/>
    <w:rsid w:val="00F220DD"/>
    <w:rsid w:val="00F32C89"/>
    <w:rsid w:val="00F356E6"/>
    <w:rsid w:val="00F76477"/>
    <w:rsid w:val="00F828DF"/>
    <w:rsid w:val="00F86E23"/>
    <w:rsid w:val="00FB7C5E"/>
    <w:rsid w:val="00FC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e3b34"/>
    </o:shapedefaults>
    <o:shapelayout v:ext="edit">
      <o:idmap v:ext="edit" data="2"/>
    </o:shapelayout>
  </w:shapeDefaults>
  <w:decimalSymbol w:val="."/>
  <w:listSeparator w:val=","/>
  <w14:docId w14:val="715299EF"/>
  <w15:docId w15:val="{5E6A2FE3-40C7-48CB-8DEF-430E2194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C9"/>
  </w:style>
  <w:style w:type="paragraph" w:styleId="Heading2">
    <w:name w:val="heading 2"/>
    <w:basedOn w:val="Normal"/>
    <w:link w:val="Heading2Char"/>
    <w:uiPriority w:val="9"/>
    <w:qFormat/>
    <w:rsid w:val="00714C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C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669"/>
    <w:rPr>
      <w:rFonts w:ascii="Tahoma" w:hAnsi="Tahoma" w:cs="Tahoma"/>
      <w:sz w:val="16"/>
      <w:szCs w:val="16"/>
    </w:rPr>
  </w:style>
  <w:style w:type="character" w:styleId="Hyperlink">
    <w:name w:val="Hyperlink"/>
    <w:basedOn w:val="DefaultParagraphFont"/>
    <w:uiPriority w:val="99"/>
    <w:unhideWhenUsed/>
    <w:rsid w:val="00B84669"/>
    <w:rPr>
      <w:color w:val="0000FF"/>
      <w:u w:val="single"/>
    </w:rPr>
  </w:style>
  <w:style w:type="paragraph" w:styleId="NoSpacing">
    <w:name w:val="No Spacing"/>
    <w:uiPriority w:val="1"/>
    <w:qFormat/>
    <w:rsid w:val="00B84669"/>
    <w:pPr>
      <w:spacing w:after="0" w:line="240" w:lineRule="auto"/>
    </w:pPr>
  </w:style>
  <w:style w:type="paragraph" w:styleId="NormalWeb">
    <w:name w:val="Normal (Web)"/>
    <w:basedOn w:val="Normal"/>
    <w:uiPriority w:val="99"/>
    <w:unhideWhenUsed/>
    <w:rsid w:val="00B846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4669"/>
    <w:rPr>
      <w:b/>
      <w:bCs/>
    </w:rPr>
  </w:style>
  <w:style w:type="character" w:customStyle="1" w:styleId="apple-converted-space">
    <w:name w:val="apple-converted-space"/>
    <w:basedOn w:val="DefaultParagraphFont"/>
    <w:rsid w:val="00B84669"/>
  </w:style>
  <w:style w:type="character" w:customStyle="1" w:styleId="Heading2Char">
    <w:name w:val="Heading 2 Char"/>
    <w:basedOn w:val="DefaultParagraphFont"/>
    <w:link w:val="Heading2"/>
    <w:uiPriority w:val="9"/>
    <w:rsid w:val="00714C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C4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71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BD1"/>
  </w:style>
  <w:style w:type="paragraph" w:styleId="Footer">
    <w:name w:val="footer"/>
    <w:basedOn w:val="Normal"/>
    <w:link w:val="FooterChar"/>
    <w:uiPriority w:val="99"/>
    <w:unhideWhenUsed/>
    <w:rsid w:val="0097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BD1"/>
  </w:style>
  <w:style w:type="character" w:styleId="UnresolvedMention">
    <w:name w:val="Unresolved Mention"/>
    <w:basedOn w:val="DefaultParagraphFont"/>
    <w:uiPriority w:val="99"/>
    <w:semiHidden/>
    <w:unhideWhenUsed/>
    <w:rsid w:val="0026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3295">
      <w:bodyDiv w:val="1"/>
      <w:marLeft w:val="0"/>
      <w:marRight w:val="0"/>
      <w:marTop w:val="0"/>
      <w:marBottom w:val="0"/>
      <w:divBdr>
        <w:top w:val="none" w:sz="0" w:space="0" w:color="auto"/>
        <w:left w:val="none" w:sz="0" w:space="0" w:color="auto"/>
        <w:bottom w:val="none" w:sz="0" w:space="0" w:color="auto"/>
        <w:right w:val="none" w:sz="0" w:space="0" w:color="auto"/>
      </w:divBdr>
    </w:div>
    <w:div w:id="113792904">
      <w:bodyDiv w:val="1"/>
      <w:marLeft w:val="0"/>
      <w:marRight w:val="0"/>
      <w:marTop w:val="0"/>
      <w:marBottom w:val="0"/>
      <w:divBdr>
        <w:top w:val="none" w:sz="0" w:space="0" w:color="auto"/>
        <w:left w:val="none" w:sz="0" w:space="0" w:color="auto"/>
        <w:bottom w:val="none" w:sz="0" w:space="0" w:color="auto"/>
        <w:right w:val="none" w:sz="0" w:space="0" w:color="auto"/>
      </w:divBdr>
    </w:div>
    <w:div w:id="124273911">
      <w:bodyDiv w:val="1"/>
      <w:marLeft w:val="0"/>
      <w:marRight w:val="0"/>
      <w:marTop w:val="0"/>
      <w:marBottom w:val="0"/>
      <w:divBdr>
        <w:top w:val="none" w:sz="0" w:space="0" w:color="auto"/>
        <w:left w:val="none" w:sz="0" w:space="0" w:color="auto"/>
        <w:bottom w:val="none" w:sz="0" w:space="0" w:color="auto"/>
        <w:right w:val="none" w:sz="0" w:space="0" w:color="auto"/>
      </w:divBdr>
      <w:divsChild>
        <w:div w:id="2124572802">
          <w:marLeft w:val="0"/>
          <w:marRight w:val="0"/>
          <w:marTop w:val="0"/>
          <w:marBottom w:val="0"/>
          <w:divBdr>
            <w:top w:val="none" w:sz="0" w:space="0" w:color="auto"/>
            <w:left w:val="none" w:sz="0" w:space="0" w:color="auto"/>
            <w:bottom w:val="none" w:sz="0" w:space="0" w:color="auto"/>
            <w:right w:val="none" w:sz="0" w:space="0" w:color="auto"/>
          </w:divBdr>
        </w:div>
      </w:divsChild>
    </w:div>
    <w:div w:id="155807648">
      <w:bodyDiv w:val="1"/>
      <w:marLeft w:val="0"/>
      <w:marRight w:val="0"/>
      <w:marTop w:val="0"/>
      <w:marBottom w:val="0"/>
      <w:divBdr>
        <w:top w:val="none" w:sz="0" w:space="0" w:color="auto"/>
        <w:left w:val="none" w:sz="0" w:space="0" w:color="auto"/>
        <w:bottom w:val="none" w:sz="0" w:space="0" w:color="auto"/>
        <w:right w:val="none" w:sz="0" w:space="0" w:color="auto"/>
      </w:divBdr>
    </w:div>
    <w:div w:id="236214079">
      <w:bodyDiv w:val="1"/>
      <w:marLeft w:val="0"/>
      <w:marRight w:val="0"/>
      <w:marTop w:val="0"/>
      <w:marBottom w:val="0"/>
      <w:divBdr>
        <w:top w:val="none" w:sz="0" w:space="0" w:color="auto"/>
        <w:left w:val="none" w:sz="0" w:space="0" w:color="auto"/>
        <w:bottom w:val="none" w:sz="0" w:space="0" w:color="auto"/>
        <w:right w:val="none" w:sz="0" w:space="0" w:color="auto"/>
      </w:divBdr>
    </w:div>
    <w:div w:id="257564587">
      <w:bodyDiv w:val="1"/>
      <w:marLeft w:val="0"/>
      <w:marRight w:val="0"/>
      <w:marTop w:val="0"/>
      <w:marBottom w:val="0"/>
      <w:divBdr>
        <w:top w:val="none" w:sz="0" w:space="0" w:color="auto"/>
        <w:left w:val="none" w:sz="0" w:space="0" w:color="auto"/>
        <w:bottom w:val="none" w:sz="0" w:space="0" w:color="auto"/>
        <w:right w:val="none" w:sz="0" w:space="0" w:color="auto"/>
      </w:divBdr>
    </w:div>
    <w:div w:id="299118726">
      <w:bodyDiv w:val="1"/>
      <w:marLeft w:val="0"/>
      <w:marRight w:val="0"/>
      <w:marTop w:val="0"/>
      <w:marBottom w:val="0"/>
      <w:divBdr>
        <w:top w:val="none" w:sz="0" w:space="0" w:color="auto"/>
        <w:left w:val="none" w:sz="0" w:space="0" w:color="auto"/>
        <w:bottom w:val="none" w:sz="0" w:space="0" w:color="auto"/>
        <w:right w:val="none" w:sz="0" w:space="0" w:color="auto"/>
      </w:divBdr>
    </w:div>
    <w:div w:id="352388500">
      <w:bodyDiv w:val="1"/>
      <w:marLeft w:val="0"/>
      <w:marRight w:val="0"/>
      <w:marTop w:val="0"/>
      <w:marBottom w:val="0"/>
      <w:divBdr>
        <w:top w:val="none" w:sz="0" w:space="0" w:color="auto"/>
        <w:left w:val="none" w:sz="0" w:space="0" w:color="auto"/>
        <w:bottom w:val="none" w:sz="0" w:space="0" w:color="auto"/>
        <w:right w:val="none" w:sz="0" w:space="0" w:color="auto"/>
      </w:divBdr>
    </w:div>
    <w:div w:id="378238269">
      <w:bodyDiv w:val="1"/>
      <w:marLeft w:val="0"/>
      <w:marRight w:val="0"/>
      <w:marTop w:val="0"/>
      <w:marBottom w:val="0"/>
      <w:divBdr>
        <w:top w:val="none" w:sz="0" w:space="0" w:color="auto"/>
        <w:left w:val="none" w:sz="0" w:space="0" w:color="auto"/>
        <w:bottom w:val="none" w:sz="0" w:space="0" w:color="auto"/>
        <w:right w:val="none" w:sz="0" w:space="0" w:color="auto"/>
      </w:divBdr>
    </w:div>
    <w:div w:id="502474300">
      <w:bodyDiv w:val="1"/>
      <w:marLeft w:val="0"/>
      <w:marRight w:val="0"/>
      <w:marTop w:val="0"/>
      <w:marBottom w:val="0"/>
      <w:divBdr>
        <w:top w:val="none" w:sz="0" w:space="0" w:color="auto"/>
        <w:left w:val="none" w:sz="0" w:space="0" w:color="auto"/>
        <w:bottom w:val="none" w:sz="0" w:space="0" w:color="auto"/>
        <w:right w:val="none" w:sz="0" w:space="0" w:color="auto"/>
      </w:divBdr>
    </w:div>
    <w:div w:id="546261403">
      <w:bodyDiv w:val="1"/>
      <w:marLeft w:val="0"/>
      <w:marRight w:val="0"/>
      <w:marTop w:val="0"/>
      <w:marBottom w:val="0"/>
      <w:divBdr>
        <w:top w:val="none" w:sz="0" w:space="0" w:color="auto"/>
        <w:left w:val="none" w:sz="0" w:space="0" w:color="auto"/>
        <w:bottom w:val="none" w:sz="0" w:space="0" w:color="auto"/>
        <w:right w:val="none" w:sz="0" w:space="0" w:color="auto"/>
      </w:divBdr>
    </w:div>
    <w:div w:id="552040579">
      <w:bodyDiv w:val="1"/>
      <w:marLeft w:val="0"/>
      <w:marRight w:val="0"/>
      <w:marTop w:val="0"/>
      <w:marBottom w:val="0"/>
      <w:divBdr>
        <w:top w:val="none" w:sz="0" w:space="0" w:color="auto"/>
        <w:left w:val="none" w:sz="0" w:space="0" w:color="auto"/>
        <w:bottom w:val="none" w:sz="0" w:space="0" w:color="auto"/>
        <w:right w:val="none" w:sz="0" w:space="0" w:color="auto"/>
      </w:divBdr>
    </w:div>
    <w:div w:id="552888700">
      <w:bodyDiv w:val="1"/>
      <w:marLeft w:val="0"/>
      <w:marRight w:val="0"/>
      <w:marTop w:val="0"/>
      <w:marBottom w:val="0"/>
      <w:divBdr>
        <w:top w:val="none" w:sz="0" w:space="0" w:color="auto"/>
        <w:left w:val="none" w:sz="0" w:space="0" w:color="auto"/>
        <w:bottom w:val="none" w:sz="0" w:space="0" w:color="auto"/>
        <w:right w:val="none" w:sz="0" w:space="0" w:color="auto"/>
      </w:divBdr>
    </w:div>
    <w:div w:id="561907292">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53489234">
      <w:bodyDiv w:val="1"/>
      <w:marLeft w:val="0"/>
      <w:marRight w:val="0"/>
      <w:marTop w:val="0"/>
      <w:marBottom w:val="0"/>
      <w:divBdr>
        <w:top w:val="none" w:sz="0" w:space="0" w:color="auto"/>
        <w:left w:val="none" w:sz="0" w:space="0" w:color="auto"/>
        <w:bottom w:val="none" w:sz="0" w:space="0" w:color="auto"/>
        <w:right w:val="none" w:sz="0" w:space="0" w:color="auto"/>
      </w:divBdr>
      <w:divsChild>
        <w:div w:id="754592035">
          <w:marLeft w:val="0"/>
          <w:marRight w:val="0"/>
          <w:marTop w:val="0"/>
          <w:marBottom w:val="0"/>
          <w:divBdr>
            <w:top w:val="none" w:sz="0" w:space="0" w:color="auto"/>
            <w:left w:val="none" w:sz="0" w:space="0" w:color="auto"/>
            <w:bottom w:val="none" w:sz="0" w:space="0" w:color="auto"/>
            <w:right w:val="none" w:sz="0" w:space="0" w:color="auto"/>
          </w:divBdr>
        </w:div>
      </w:divsChild>
    </w:div>
    <w:div w:id="661588622">
      <w:bodyDiv w:val="1"/>
      <w:marLeft w:val="0"/>
      <w:marRight w:val="0"/>
      <w:marTop w:val="0"/>
      <w:marBottom w:val="0"/>
      <w:divBdr>
        <w:top w:val="none" w:sz="0" w:space="0" w:color="auto"/>
        <w:left w:val="none" w:sz="0" w:space="0" w:color="auto"/>
        <w:bottom w:val="none" w:sz="0" w:space="0" w:color="auto"/>
        <w:right w:val="none" w:sz="0" w:space="0" w:color="auto"/>
      </w:divBdr>
    </w:div>
    <w:div w:id="702554114">
      <w:bodyDiv w:val="1"/>
      <w:marLeft w:val="0"/>
      <w:marRight w:val="0"/>
      <w:marTop w:val="0"/>
      <w:marBottom w:val="0"/>
      <w:divBdr>
        <w:top w:val="none" w:sz="0" w:space="0" w:color="auto"/>
        <w:left w:val="none" w:sz="0" w:space="0" w:color="auto"/>
        <w:bottom w:val="none" w:sz="0" w:space="0" w:color="auto"/>
        <w:right w:val="none" w:sz="0" w:space="0" w:color="auto"/>
      </w:divBdr>
    </w:div>
    <w:div w:id="727998285">
      <w:bodyDiv w:val="1"/>
      <w:marLeft w:val="0"/>
      <w:marRight w:val="0"/>
      <w:marTop w:val="0"/>
      <w:marBottom w:val="0"/>
      <w:divBdr>
        <w:top w:val="none" w:sz="0" w:space="0" w:color="auto"/>
        <w:left w:val="none" w:sz="0" w:space="0" w:color="auto"/>
        <w:bottom w:val="none" w:sz="0" w:space="0" w:color="auto"/>
        <w:right w:val="none" w:sz="0" w:space="0" w:color="auto"/>
      </w:divBdr>
    </w:div>
    <w:div w:id="765267448">
      <w:bodyDiv w:val="1"/>
      <w:marLeft w:val="0"/>
      <w:marRight w:val="0"/>
      <w:marTop w:val="0"/>
      <w:marBottom w:val="0"/>
      <w:divBdr>
        <w:top w:val="none" w:sz="0" w:space="0" w:color="auto"/>
        <w:left w:val="none" w:sz="0" w:space="0" w:color="auto"/>
        <w:bottom w:val="none" w:sz="0" w:space="0" w:color="auto"/>
        <w:right w:val="none" w:sz="0" w:space="0" w:color="auto"/>
      </w:divBdr>
    </w:div>
    <w:div w:id="798302845">
      <w:bodyDiv w:val="1"/>
      <w:marLeft w:val="0"/>
      <w:marRight w:val="0"/>
      <w:marTop w:val="0"/>
      <w:marBottom w:val="0"/>
      <w:divBdr>
        <w:top w:val="none" w:sz="0" w:space="0" w:color="auto"/>
        <w:left w:val="none" w:sz="0" w:space="0" w:color="auto"/>
        <w:bottom w:val="none" w:sz="0" w:space="0" w:color="auto"/>
        <w:right w:val="none" w:sz="0" w:space="0" w:color="auto"/>
      </w:divBdr>
    </w:div>
    <w:div w:id="801508030">
      <w:bodyDiv w:val="1"/>
      <w:marLeft w:val="0"/>
      <w:marRight w:val="0"/>
      <w:marTop w:val="0"/>
      <w:marBottom w:val="0"/>
      <w:divBdr>
        <w:top w:val="none" w:sz="0" w:space="0" w:color="auto"/>
        <w:left w:val="none" w:sz="0" w:space="0" w:color="auto"/>
        <w:bottom w:val="none" w:sz="0" w:space="0" w:color="auto"/>
        <w:right w:val="none" w:sz="0" w:space="0" w:color="auto"/>
      </w:divBdr>
      <w:divsChild>
        <w:div w:id="526989224">
          <w:marLeft w:val="0"/>
          <w:marRight w:val="0"/>
          <w:marTop w:val="0"/>
          <w:marBottom w:val="0"/>
          <w:divBdr>
            <w:top w:val="none" w:sz="0" w:space="0" w:color="auto"/>
            <w:left w:val="none" w:sz="0" w:space="0" w:color="auto"/>
            <w:bottom w:val="none" w:sz="0" w:space="0" w:color="auto"/>
            <w:right w:val="none" w:sz="0" w:space="0" w:color="auto"/>
          </w:divBdr>
        </w:div>
      </w:divsChild>
    </w:div>
    <w:div w:id="902064337">
      <w:bodyDiv w:val="1"/>
      <w:marLeft w:val="0"/>
      <w:marRight w:val="0"/>
      <w:marTop w:val="0"/>
      <w:marBottom w:val="0"/>
      <w:divBdr>
        <w:top w:val="none" w:sz="0" w:space="0" w:color="auto"/>
        <w:left w:val="none" w:sz="0" w:space="0" w:color="auto"/>
        <w:bottom w:val="none" w:sz="0" w:space="0" w:color="auto"/>
        <w:right w:val="none" w:sz="0" w:space="0" w:color="auto"/>
      </w:divBdr>
    </w:div>
    <w:div w:id="951206617">
      <w:bodyDiv w:val="1"/>
      <w:marLeft w:val="0"/>
      <w:marRight w:val="0"/>
      <w:marTop w:val="0"/>
      <w:marBottom w:val="0"/>
      <w:divBdr>
        <w:top w:val="none" w:sz="0" w:space="0" w:color="auto"/>
        <w:left w:val="none" w:sz="0" w:space="0" w:color="auto"/>
        <w:bottom w:val="none" w:sz="0" w:space="0" w:color="auto"/>
        <w:right w:val="none" w:sz="0" w:space="0" w:color="auto"/>
      </w:divBdr>
    </w:div>
    <w:div w:id="1021198883">
      <w:bodyDiv w:val="1"/>
      <w:marLeft w:val="0"/>
      <w:marRight w:val="0"/>
      <w:marTop w:val="0"/>
      <w:marBottom w:val="0"/>
      <w:divBdr>
        <w:top w:val="none" w:sz="0" w:space="0" w:color="auto"/>
        <w:left w:val="none" w:sz="0" w:space="0" w:color="auto"/>
        <w:bottom w:val="none" w:sz="0" w:space="0" w:color="auto"/>
        <w:right w:val="none" w:sz="0" w:space="0" w:color="auto"/>
      </w:divBdr>
    </w:div>
    <w:div w:id="1023440747">
      <w:bodyDiv w:val="1"/>
      <w:marLeft w:val="0"/>
      <w:marRight w:val="0"/>
      <w:marTop w:val="0"/>
      <w:marBottom w:val="0"/>
      <w:divBdr>
        <w:top w:val="none" w:sz="0" w:space="0" w:color="auto"/>
        <w:left w:val="none" w:sz="0" w:space="0" w:color="auto"/>
        <w:bottom w:val="none" w:sz="0" w:space="0" w:color="auto"/>
        <w:right w:val="none" w:sz="0" w:space="0" w:color="auto"/>
      </w:divBdr>
    </w:div>
    <w:div w:id="1028409438">
      <w:bodyDiv w:val="1"/>
      <w:marLeft w:val="0"/>
      <w:marRight w:val="0"/>
      <w:marTop w:val="0"/>
      <w:marBottom w:val="0"/>
      <w:divBdr>
        <w:top w:val="none" w:sz="0" w:space="0" w:color="auto"/>
        <w:left w:val="none" w:sz="0" w:space="0" w:color="auto"/>
        <w:bottom w:val="none" w:sz="0" w:space="0" w:color="auto"/>
        <w:right w:val="none" w:sz="0" w:space="0" w:color="auto"/>
      </w:divBdr>
    </w:div>
    <w:div w:id="1066882061">
      <w:bodyDiv w:val="1"/>
      <w:marLeft w:val="0"/>
      <w:marRight w:val="0"/>
      <w:marTop w:val="0"/>
      <w:marBottom w:val="0"/>
      <w:divBdr>
        <w:top w:val="none" w:sz="0" w:space="0" w:color="auto"/>
        <w:left w:val="none" w:sz="0" w:space="0" w:color="auto"/>
        <w:bottom w:val="none" w:sz="0" w:space="0" w:color="auto"/>
        <w:right w:val="none" w:sz="0" w:space="0" w:color="auto"/>
      </w:divBdr>
    </w:div>
    <w:div w:id="1119645485">
      <w:bodyDiv w:val="1"/>
      <w:marLeft w:val="0"/>
      <w:marRight w:val="0"/>
      <w:marTop w:val="0"/>
      <w:marBottom w:val="0"/>
      <w:divBdr>
        <w:top w:val="none" w:sz="0" w:space="0" w:color="auto"/>
        <w:left w:val="none" w:sz="0" w:space="0" w:color="auto"/>
        <w:bottom w:val="none" w:sz="0" w:space="0" w:color="auto"/>
        <w:right w:val="none" w:sz="0" w:space="0" w:color="auto"/>
      </w:divBdr>
    </w:div>
    <w:div w:id="1184973733">
      <w:bodyDiv w:val="1"/>
      <w:marLeft w:val="0"/>
      <w:marRight w:val="0"/>
      <w:marTop w:val="0"/>
      <w:marBottom w:val="0"/>
      <w:divBdr>
        <w:top w:val="none" w:sz="0" w:space="0" w:color="auto"/>
        <w:left w:val="none" w:sz="0" w:space="0" w:color="auto"/>
        <w:bottom w:val="none" w:sz="0" w:space="0" w:color="auto"/>
        <w:right w:val="none" w:sz="0" w:space="0" w:color="auto"/>
      </w:divBdr>
    </w:div>
    <w:div w:id="1236210469">
      <w:bodyDiv w:val="1"/>
      <w:marLeft w:val="0"/>
      <w:marRight w:val="0"/>
      <w:marTop w:val="0"/>
      <w:marBottom w:val="0"/>
      <w:divBdr>
        <w:top w:val="none" w:sz="0" w:space="0" w:color="auto"/>
        <w:left w:val="none" w:sz="0" w:space="0" w:color="auto"/>
        <w:bottom w:val="none" w:sz="0" w:space="0" w:color="auto"/>
        <w:right w:val="none" w:sz="0" w:space="0" w:color="auto"/>
      </w:divBdr>
    </w:div>
    <w:div w:id="1254170342">
      <w:bodyDiv w:val="1"/>
      <w:marLeft w:val="0"/>
      <w:marRight w:val="0"/>
      <w:marTop w:val="0"/>
      <w:marBottom w:val="0"/>
      <w:divBdr>
        <w:top w:val="none" w:sz="0" w:space="0" w:color="auto"/>
        <w:left w:val="none" w:sz="0" w:space="0" w:color="auto"/>
        <w:bottom w:val="none" w:sz="0" w:space="0" w:color="auto"/>
        <w:right w:val="none" w:sz="0" w:space="0" w:color="auto"/>
      </w:divBdr>
    </w:div>
    <w:div w:id="1268122028">
      <w:bodyDiv w:val="1"/>
      <w:marLeft w:val="0"/>
      <w:marRight w:val="0"/>
      <w:marTop w:val="0"/>
      <w:marBottom w:val="0"/>
      <w:divBdr>
        <w:top w:val="none" w:sz="0" w:space="0" w:color="auto"/>
        <w:left w:val="none" w:sz="0" w:space="0" w:color="auto"/>
        <w:bottom w:val="none" w:sz="0" w:space="0" w:color="auto"/>
        <w:right w:val="none" w:sz="0" w:space="0" w:color="auto"/>
      </w:divBdr>
      <w:divsChild>
        <w:div w:id="1743411568">
          <w:marLeft w:val="0"/>
          <w:marRight w:val="0"/>
          <w:marTop w:val="0"/>
          <w:marBottom w:val="0"/>
          <w:divBdr>
            <w:top w:val="none" w:sz="0" w:space="0" w:color="auto"/>
            <w:left w:val="none" w:sz="0" w:space="0" w:color="auto"/>
            <w:bottom w:val="none" w:sz="0" w:space="0" w:color="auto"/>
            <w:right w:val="none" w:sz="0" w:space="0" w:color="auto"/>
          </w:divBdr>
          <w:divsChild>
            <w:div w:id="1492142274">
              <w:marLeft w:val="4757"/>
              <w:marRight w:val="4757"/>
              <w:marTop w:val="0"/>
              <w:marBottom w:val="750"/>
              <w:divBdr>
                <w:top w:val="none" w:sz="0" w:space="0" w:color="auto"/>
                <w:left w:val="none" w:sz="0" w:space="0" w:color="auto"/>
                <w:bottom w:val="none" w:sz="0" w:space="0" w:color="auto"/>
                <w:right w:val="none" w:sz="0" w:space="0" w:color="auto"/>
              </w:divBdr>
              <w:divsChild>
                <w:div w:id="1702853876">
                  <w:marLeft w:val="0"/>
                  <w:marRight w:val="0"/>
                  <w:marTop w:val="0"/>
                  <w:marBottom w:val="0"/>
                  <w:divBdr>
                    <w:top w:val="none" w:sz="0" w:space="0" w:color="auto"/>
                    <w:left w:val="none" w:sz="0" w:space="0" w:color="auto"/>
                    <w:bottom w:val="none" w:sz="0" w:space="0" w:color="auto"/>
                    <w:right w:val="none" w:sz="0" w:space="0" w:color="auto"/>
                  </w:divBdr>
                  <w:divsChild>
                    <w:div w:id="1851947539">
                      <w:marLeft w:val="0"/>
                      <w:marRight w:val="0"/>
                      <w:marTop w:val="0"/>
                      <w:marBottom w:val="0"/>
                      <w:divBdr>
                        <w:top w:val="none" w:sz="0" w:space="0" w:color="auto"/>
                        <w:left w:val="none" w:sz="0" w:space="0" w:color="auto"/>
                        <w:bottom w:val="none" w:sz="0" w:space="0" w:color="auto"/>
                        <w:right w:val="none" w:sz="0" w:space="0" w:color="auto"/>
                      </w:divBdr>
                      <w:divsChild>
                        <w:div w:id="477646046">
                          <w:marLeft w:val="0"/>
                          <w:marRight w:val="0"/>
                          <w:marTop w:val="0"/>
                          <w:marBottom w:val="0"/>
                          <w:divBdr>
                            <w:top w:val="none" w:sz="0" w:space="0" w:color="auto"/>
                            <w:left w:val="none" w:sz="0" w:space="0" w:color="auto"/>
                            <w:bottom w:val="none" w:sz="0" w:space="0" w:color="auto"/>
                            <w:right w:val="none" w:sz="0" w:space="0" w:color="auto"/>
                          </w:divBdr>
                          <w:divsChild>
                            <w:div w:id="2013528769">
                              <w:marLeft w:val="0"/>
                              <w:marRight w:val="0"/>
                              <w:marTop w:val="0"/>
                              <w:marBottom w:val="0"/>
                              <w:divBdr>
                                <w:top w:val="none" w:sz="0" w:space="0" w:color="auto"/>
                                <w:left w:val="none" w:sz="0" w:space="0" w:color="auto"/>
                                <w:bottom w:val="none" w:sz="0" w:space="0" w:color="auto"/>
                                <w:right w:val="none" w:sz="0" w:space="0" w:color="auto"/>
                              </w:divBdr>
                              <w:divsChild>
                                <w:div w:id="590087048">
                                  <w:marLeft w:val="3000"/>
                                  <w:marRight w:val="0"/>
                                  <w:marTop w:val="0"/>
                                  <w:marBottom w:val="0"/>
                                  <w:divBdr>
                                    <w:top w:val="none" w:sz="0" w:space="0" w:color="auto"/>
                                    <w:left w:val="none" w:sz="0" w:space="0" w:color="auto"/>
                                    <w:bottom w:val="none" w:sz="0" w:space="0" w:color="auto"/>
                                    <w:right w:val="none" w:sz="0" w:space="0" w:color="auto"/>
                                  </w:divBdr>
                                  <w:divsChild>
                                    <w:div w:id="1524435409">
                                      <w:marLeft w:val="0"/>
                                      <w:marRight w:val="0"/>
                                      <w:marTop w:val="0"/>
                                      <w:marBottom w:val="0"/>
                                      <w:divBdr>
                                        <w:top w:val="none" w:sz="0" w:space="0" w:color="auto"/>
                                        <w:left w:val="none" w:sz="0" w:space="0" w:color="auto"/>
                                        <w:bottom w:val="none" w:sz="0" w:space="0" w:color="auto"/>
                                        <w:right w:val="none" w:sz="0" w:space="0" w:color="auto"/>
                                      </w:divBdr>
                                    </w:div>
                                    <w:div w:id="443505400">
                                      <w:marLeft w:val="0"/>
                                      <w:marRight w:val="0"/>
                                      <w:marTop w:val="0"/>
                                      <w:marBottom w:val="0"/>
                                      <w:divBdr>
                                        <w:top w:val="none" w:sz="0" w:space="0" w:color="auto"/>
                                        <w:left w:val="none" w:sz="0" w:space="0" w:color="auto"/>
                                        <w:bottom w:val="none" w:sz="0" w:space="0" w:color="auto"/>
                                        <w:right w:val="none" w:sz="0" w:space="0" w:color="auto"/>
                                      </w:divBdr>
                                      <w:divsChild>
                                        <w:div w:id="2094617083">
                                          <w:marLeft w:val="0"/>
                                          <w:marRight w:val="0"/>
                                          <w:marTop w:val="0"/>
                                          <w:marBottom w:val="0"/>
                                          <w:divBdr>
                                            <w:top w:val="none" w:sz="0" w:space="0" w:color="auto"/>
                                            <w:left w:val="none" w:sz="0" w:space="0" w:color="auto"/>
                                            <w:bottom w:val="none" w:sz="0" w:space="0" w:color="auto"/>
                                            <w:right w:val="none" w:sz="0" w:space="0" w:color="auto"/>
                                          </w:divBdr>
                                        </w:div>
                                      </w:divsChild>
                                    </w:div>
                                    <w:div w:id="1201089657">
                                      <w:marLeft w:val="0"/>
                                      <w:marRight w:val="0"/>
                                      <w:marTop w:val="0"/>
                                      <w:marBottom w:val="0"/>
                                      <w:divBdr>
                                        <w:top w:val="none" w:sz="0" w:space="0" w:color="auto"/>
                                        <w:left w:val="none" w:sz="0" w:space="0" w:color="auto"/>
                                        <w:bottom w:val="none" w:sz="0" w:space="0" w:color="auto"/>
                                        <w:right w:val="none" w:sz="0" w:space="0" w:color="auto"/>
                                      </w:divBdr>
                                      <w:divsChild>
                                        <w:div w:id="1072701714">
                                          <w:marLeft w:val="0"/>
                                          <w:marRight w:val="0"/>
                                          <w:marTop w:val="0"/>
                                          <w:marBottom w:val="0"/>
                                          <w:divBdr>
                                            <w:top w:val="none" w:sz="0" w:space="0" w:color="auto"/>
                                            <w:left w:val="none" w:sz="0" w:space="0" w:color="auto"/>
                                            <w:bottom w:val="none" w:sz="0" w:space="0" w:color="auto"/>
                                            <w:right w:val="none" w:sz="0" w:space="0" w:color="auto"/>
                                          </w:divBdr>
                                        </w:div>
                                      </w:divsChild>
                                    </w:div>
                                    <w:div w:id="1109005478">
                                      <w:marLeft w:val="0"/>
                                      <w:marRight w:val="0"/>
                                      <w:marTop w:val="0"/>
                                      <w:marBottom w:val="0"/>
                                      <w:divBdr>
                                        <w:top w:val="none" w:sz="0" w:space="0" w:color="auto"/>
                                        <w:left w:val="none" w:sz="0" w:space="0" w:color="auto"/>
                                        <w:bottom w:val="none" w:sz="0" w:space="0" w:color="auto"/>
                                        <w:right w:val="none" w:sz="0" w:space="0" w:color="auto"/>
                                      </w:divBdr>
                                    </w:div>
                                    <w:div w:id="946540426">
                                      <w:marLeft w:val="0"/>
                                      <w:marRight w:val="0"/>
                                      <w:marTop w:val="0"/>
                                      <w:marBottom w:val="0"/>
                                      <w:divBdr>
                                        <w:top w:val="none" w:sz="0" w:space="0" w:color="auto"/>
                                        <w:left w:val="none" w:sz="0" w:space="0" w:color="auto"/>
                                        <w:bottom w:val="none" w:sz="0" w:space="0" w:color="auto"/>
                                        <w:right w:val="none" w:sz="0" w:space="0" w:color="auto"/>
                                      </w:divBdr>
                                    </w:div>
                                  </w:divsChild>
                                </w:div>
                                <w:div w:id="866522824">
                                  <w:marLeft w:val="0"/>
                                  <w:marRight w:val="0"/>
                                  <w:marTop w:val="0"/>
                                  <w:marBottom w:val="0"/>
                                  <w:divBdr>
                                    <w:top w:val="none" w:sz="0" w:space="0" w:color="auto"/>
                                    <w:left w:val="none" w:sz="0" w:space="0" w:color="auto"/>
                                    <w:bottom w:val="none" w:sz="0" w:space="0" w:color="auto"/>
                                    <w:right w:val="none" w:sz="0" w:space="0" w:color="auto"/>
                                  </w:divBdr>
                                  <w:divsChild>
                                    <w:div w:id="335306304">
                                      <w:marLeft w:val="0"/>
                                      <w:marRight w:val="0"/>
                                      <w:marTop w:val="0"/>
                                      <w:marBottom w:val="0"/>
                                      <w:divBdr>
                                        <w:top w:val="none" w:sz="0" w:space="0" w:color="auto"/>
                                        <w:left w:val="none" w:sz="0" w:space="0" w:color="auto"/>
                                        <w:bottom w:val="none" w:sz="0" w:space="0" w:color="auto"/>
                                        <w:right w:val="none" w:sz="0" w:space="0" w:color="auto"/>
                                      </w:divBdr>
                                    </w:div>
                                    <w:div w:id="163867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216177">
      <w:bodyDiv w:val="1"/>
      <w:marLeft w:val="0"/>
      <w:marRight w:val="0"/>
      <w:marTop w:val="0"/>
      <w:marBottom w:val="0"/>
      <w:divBdr>
        <w:top w:val="none" w:sz="0" w:space="0" w:color="auto"/>
        <w:left w:val="none" w:sz="0" w:space="0" w:color="auto"/>
        <w:bottom w:val="none" w:sz="0" w:space="0" w:color="auto"/>
        <w:right w:val="none" w:sz="0" w:space="0" w:color="auto"/>
      </w:divBdr>
    </w:div>
    <w:div w:id="1369112657">
      <w:bodyDiv w:val="1"/>
      <w:marLeft w:val="0"/>
      <w:marRight w:val="0"/>
      <w:marTop w:val="0"/>
      <w:marBottom w:val="0"/>
      <w:divBdr>
        <w:top w:val="none" w:sz="0" w:space="0" w:color="auto"/>
        <w:left w:val="none" w:sz="0" w:space="0" w:color="auto"/>
        <w:bottom w:val="none" w:sz="0" w:space="0" w:color="auto"/>
        <w:right w:val="none" w:sz="0" w:space="0" w:color="auto"/>
      </w:divBdr>
    </w:div>
    <w:div w:id="1384015349">
      <w:bodyDiv w:val="1"/>
      <w:marLeft w:val="0"/>
      <w:marRight w:val="0"/>
      <w:marTop w:val="0"/>
      <w:marBottom w:val="0"/>
      <w:divBdr>
        <w:top w:val="none" w:sz="0" w:space="0" w:color="auto"/>
        <w:left w:val="none" w:sz="0" w:space="0" w:color="auto"/>
        <w:bottom w:val="none" w:sz="0" w:space="0" w:color="auto"/>
        <w:right w:val="none" w:sz="0" w:space="0" w:color="auto"/>
      </w:divBdr>
    </w:div>
    <w:div w:id="1401052980">
      <w:bodyDiv w:val="1"/>
      <w:marLeft w:val="0"/>
      <w:marRight w:val="0"/>
      <w:marTop w:val="0"/>
      <w:marBottom w:val="0"/>
      <w:divBdr>
        <w:top w:val="none" w:sz="0" w:space="0" w:color="auto"/>
        <w:left w:val="none" w:sz="0" w:space="0" w:color="auto"/>
        <w:bottom w:val="none" w:sz="0" w:space="0" w:color="auto"/>
        <w:right w:val="none" w:sz="0" w:space="0" w:color="auto"/>
      </w:divBdr>
    </w:div>
    <w:div w:id="1408304080">
      <w:bodyDiv w:val="1"/>
      <w:marLeft w:val="0"/>
      <w:marRight w:val="0"/>
      <w:marTop w:val="0"/>
      <w:marBottom w:val="0"/>
      <w:divBdr>
        <w:top w:val="none" w:sz="0" w:space="0" w:color="auto"/>
        <w:left w:val="none" w:sz="0" w:space="0" w:color="auto"/>
        <w:bottom w:val="none" w:sz="0" w:space="0" w:color="auto"/>
        <w:right w:val="none" w:sz="0" w:space="0" w:color="auto"/>
      </w:divBdr>
    </w:div>
    <w:div w:id="1419594784">
      <w:bodyDiv w:val="1"/>
      <w:marLeft w:val="0"/>
      <w:marRight w:val="0"/>
      <w:marTop w:val="0"/>
      <w:marBottom w:val="0"/>
      <w:divBdr>
        <w:top w:val="none" w:sz="0" w:space="0" w:color="auto"/>
        <w:left w:val="none" w:sz="0" w:space="0" w:color="auto"/>
        <w:bottom w:val="none" w:sz="0" w:space="0" w:color="auto"/>
        <w:right w:val="none" w:sz="0" w:space="0" w:color="auto"/>
      </w:divBdr>
      <w:divsChild>
        <w:div w:id="44988813">
          <w:marLeft w:val="0"/>
          <w:marRight w:val="0"/>
          <w:marTop w:val="0"/>
          <w:marBottom w:val="0"/>
          <w:divBdr>
            <w:top w:val="none" w:sz="0" w:space="0" w:color="auto"/>
            <w:left w:val="none" w:sz="0" w:space="0" w:color="auto"/>
            <w:bottom w:val="none" w:sz="0" w:space="0" w:color="auto"/>
            <w:right w:val="none" w:sz="0" w:space="0" w:color="auto"/>
          </w:divBdr>
        </w:div>
      </w:divsChild>
    </w:div>
    <w:div w:id="1523351301">
      <w:bodyDiv w:val="1"/>
      <w:marLeft w:val="0"/>
      <w:marRight w:val="0"/>
      <w:marTop w:val="0"/>
      <w:marBottom w:val="0"/>
      <w:divBdr>
        <w:top w:val="none" w:sz="0" w:space="0" w:color="auto"/>
        <w:left w:val="none" w:sz="0" w:space="0" w:color="auto"/>
        <w:bottom w:val="none" w:sz="0" w:space="0" w:color="auto"/>
        <w:right w:val="none" w:sz="0" w:space="0" w:color="auto"/>
      </w:divBdr>
    </w:div>
    <w:div w:id="1531530683">
      <w:bodyDiv w:val="1"/>
      <w:marLeft w:val="0"/>
      <w:marRight w:val="0"/>
      <w:marTop w:val="0"/>
      <w:marBottom w:val="0"/>
      <w:divBdr>
        <w:top w:val="none" w:sz="0" w:space="0" w:color="auto"/>
        <w:left w:val="none" w:sz="0" w:space="0" w:color="auto"/>
        <w:bottom w:val="none" w:sz="0" w:space="0" w:color="auto"/>
        <w:right w:val="none" w:sz="0" w:space="0" w:color="auto"/>
      </w:divBdr>
    </w:div>
    <w:div w:id="1610048116">
      <w:bodyDiv w:val="1"/>
      <w:marLeft w:val="0"/>
      <w:marRight w:val="0"/>
      <w:marTop w:val="0"/>
      <w:marBottom w:val="0"/>
      <w:divBdr>
        <w:top w:val="none" w:sz="0" w:space="0" w:color="auto"/>
        <w:left w:val="none" w:sz="0" w:space="0" w:color="auto"/>
        <w:bottom w:val="none" w:sz="0" w:space="0" w:color="auto"/>
        <w:right w:val="none" w:sz="0" w:space="0" w:color="auto"/>
      </w:divBdr>
    </w:div>
    <w:div w:id="1628782289">
      <w:bodyDiv w:val="1"/>
      <w:marLeft w:val="0"/>
      <w:marRight w:val="0"/>
      <w:marTop w:val="0"/>
      <w:marBottom w:val="0"/>
      <w:divBdr>
        <w:top w:val="none" w:sz="0" w:space="0" w:color="auto"/>
        <w:left w:val="none" w:sz="0" w:space="0" w:color="auto"/>
        <w:bottom w:val="none" w:sz="0" w:space="0" w:color="auto"/>
        <w:right w:val="none" w:sz="0" w:space="0" w:color="auto"/>
      </w:divBdr>
    </w:div>
    <w:div w:id="1634020537">
      <w:bodyDiv w:val="1"/>
      <w:marLeft w:val="0"/>
      <w:marRight w:val="0"/>
      <w:marTop w:val="0"/>
      <w:marBottom w:val="0"/>
      <w:divBdr>
        <w:top w:val="none" w:sz="0" w:space="0" w:color="auto"/>
        <w:left w:val="none" w:sz="0" w:space="0" w:color="auto"/>
        <w:bottom w:val="none" w:sz="0" w:space="0" w:color="auto"/>
        <w:right w:val="none" w:sz="0" w:space="0" w:color="auto"/>
      </w:divBdr>
    </w:div>
    <w:div w:id="1674062421">
      <w:bodyDiv w:val="1"/>
      <w:marLeft w:val="0"/>
      <w:marRight w:val="0"/>
      <w:marTop w:val="0"/>
      <w:marBottom w:val="0"/>
      <w:divBdr>
        <w:top w:val="none" w:sz="0" w:space="0" w:color="auto"/>
        <w:left w:val="none" w:sz="0" w:space="0" w:color="auto"/>
        <w:bottom w:val="none" w:sz="0" w:space="0" w:color="auto"/>
        <w:right w:val="none" w:sz="0" w:space="0" w:color="auto"/>
      </w:divBdr>
    </w:div>
    <w:div w:id="1686245025">
      <w:bodyDiv w:val="1"/>
      <w:marLeft w:val="0"/>
      <w:marRight w:val="0"/>
      <w:marTop w:val="0"/>
      <w:marBottom w:val="0"/>
      <w:divBdr>
        <w:top w:val="none" w:sz="0" w:space="0" w:color="auto"/>
        <w:left w:val="none" w:sz="0" w:space="0" w:color="auto"/>
        <w:bottom w:val="none" w:sz="0" w:space="0" w:color="auto"/>
        <w:right w:val="none" w:sz="0" w:space="0" w:color="auto"/>
      </w:divBdr>
    </w:div>
    <w:div w:id="1732774998">
      <w:bodyDiv w:val="1"/>
      <w:marLeft w:val="0"/>
      <w:marRight w:val="0"/>
      <w:marTop w:val="0"/>
      <w:marBottom w:val="0"/>
      <w:divBdr>
        <w:top w:val="none" w:sz="0" w:space="0" w:color="auto"/>
        <w:left w:val="none" w:sz="0" w:space="0" w:color="auto"/>
        <w:bottom w:val="none" w:sz="0" w:space="0" w:color="auto"/>
        <w:right w:val="none" w:sz="0" w:space="0" w:color="auto"/>
      </w:divBdr>
    </w:div>
    <w:div w:id="1761952400">
      <w:bodyDiv w:val="1"/>
      <w:marLeft w:val="0"/>
      <w:marRight w:val="0"/>
      <w:marTop w:val="0"/>
      <w:marBottom w:val="0"/>
      <w:divBdr>
        <w:top w:val="none" w:sz="0" w:space="0" w:color="auto"/>
        <w:left w:val="none" w:sz="0" w:space="0" w:color="auto"/>
        <w:bottom w:val="none" w:sz="0" w:space="0" w:color="auto"/>
        <w:right w:val="none" w:sz="0" w:space="0" w:color="auto"/>
      </w:divBdr>
    </w:div>
    <w:div w:id="1771509562">
      <w:bodyDiv w:val="1"/>
      <w:marLeft w:val="0"/>
      <w:marRight w:val="0"/>
      <w:marTop w:val="0"/>
      <w:marBottom w:val="0"/>
      <w:divBdr>
        <w:top w:val="none" w:sz="0" w:space="0" w:color="auto"/>
        <w:left w:val="none" w:sz="0" w:space="0" w:color="auto"/>
        <w:bottom w:val="none" w:sz="0" w:space="0" w:color="auto"/>
        <w:right w:val="none" w:sz="0" w:space="0" w:color="auto"/>
      </w:divBdr>
    </w:div>
    <w:div w:id="1780032003">
      <w:bodyDiv w:val="1"/>
      <w:marLeft w:val="0"/>
      <w:marRight w:val="0"/>
      <w:marTop w:val="0"/>
      <w:marBottom w:val="0"/>
      <w:divBdr>
        <w:top w:val="none" w:sz="0" w:space="0" w:color="auto"/>
        <w:left w:val="none" w:sz="0" w:space="0" w:color="auto"/>
        <w:bottom w:val="none" w:sz="0" w:space="0" w:color="auto"/>
        <w:right w:val="none" w:sz="0" w:space="0" w:color="auto"/>
      </w:divBdr>
    </w:div>
    <w:div w:id="1783912451">
      <w:bodyDiv w:val="1"/>
      <w:marLeft w:val="0"/>
      <w:marRight w:val="0"/>
      <w:marTop w:val="0"/>
      <w:marBottom w:val="0"/>
      <w:divBdr>
        <w:top w:val="none" w:sz="0" w:space="0" w:color="auto"/>
        <w:left w:val="none" w:sz="0" w:space="0" w:color="auto"/>
        <w:bottom w:val="none" w:sz="0" w:space="0" w:color="auto"/>
        <w:right w:val="none" w:sz="0" w:space="0" w:color="auto"/>
      </w:divBdr>
    </w:div>
    <w:div w:id="1814717404">
      <w:bodyDiv w:val="1"/>
      <w:marLeft w:val="0"/>
      <w:marRight w:val="0"/>
      <w:marTop w:val="0"/>
      <w:marBottom w:val="0"/>
      <w:divBdr>
        <w:top w:val="none" w:sz="0" w:space="0" w:color="auto"/>
        <w:left w:val="none" w:sz="0" w:space="0" w:color="auto"/>
        <w:bottom w:val="none" w:sz="0" w:space="0" w:color="auto"/>
        <w:right w:val="none" w:sz="0" w:space="0" w:color="auto"/>
      </w:divBdr>
    </w:div>
    <w:div w:id="1926959140">
      <w:bodyDiv w:val="1"/>
      <w:marLeft w:val="0"/>
      <w:marRight w:val="0"/>
      <w:marTop w:val="0"/>
      <w:marBottom w:val="0"/>
      <w:divBdr>
        <w:top w:val="none" w:sz="0" w:space="0" w:color="auto"/>
        <w:left w:val="none" w:sz="0" w:space="0" w:color="auto"/>
        <w:bottom w:val="none" w:sz="0" w:space="0" w:color="auto"/>
        <w:right w:val="none" w:sz="0" w:space="0" w:color="auto"/>
      </w:divBdr>
    </w:div>
    <w:div w:id="1966886844">
      <w:bodyDiv w:val="1"/>
      <w:marLeft w:val="0"/>
      <w:marRight w:val="0"/>
      <w:marTop w:val="0"/>
      <w:marBottom w:val="0"/>
      <w:divBdr>
        <w:top w:val="none" w:sz="0" w:space="0" w:color="auto"/>
        <w:left w:val="none" w:sz="0" w:space="0" w:color="auto"/>
        <w:bottom w:val="none" w:sz="0" w:space="0" w:color="auto"/>
        <w:right w:val="none" w:sz="0" w:space="0" w:color="auto"/>
      </w:divBdr>
    </w:div>
    <w:div w:id="2078896123">
      <w:bodyDiv w:val="1"/>
      <w:marLeft w:val="0"/>
      <w:marRight w:val="0"/>
      <w:marTop w:val="0"/>
      <w:marBottom w:val="0"/>
      <w:divBdr>
        <w:top w:val="none" w:sz="0" w:space="0" w:color="auto"/>
        <w:left w:val="none" w:sz="0" w:space="0" w:color="auto"/>
        <w:bottom w:val="none" w:sz="0" w:space="0" w:color="auto"/>
        <w:right w:val="none" w:sz="0" w:space="0" w:color="auto"/>
      </w:divBdr>
    </w:div>
    <w:div w:id="2105422063">
      <w:bodyDiv w:val="1"/>
      <w:marLeft w:val="0"/>
      <w:marRight w:val="0"/>
      <w:marTop w:val="0"/>
      <w:marBottom w:val="0"/>
      <w:divBdr>
        <w:top w:val="none" w:sz="0" w:space="0" w:color="auto"/>
        <w:left w:val="none" w:sz="0" w:space="0" w:color="auto"/>
        <w:bottom w:val="none" w:sz="0" w:space="0" w:color="auto"/>
        <w:right w:val="none" w:sz="0" w:space="0" w:color="auto"/>
      </w:divBdr>
      <w:divsChild>
        <w:div w:id="1978143355">
          <w:marLeft w:val="0"/>
          <w:marRight w:val="0"/>
          <w:marTop w:val="0"/>
          <w:marBottom w:val="150"/>
          <w:divBdr>
            <w:top w:val="none" w:sz="0" w:space="0" w:color="auto"/>
            <w:left w:val="none" w:sz="0" w:space="0" w:color="auto"/>
            <w:bottom w:val="none" w:sz="0" w:space="0" w:color="auto"/>
            <w:right w:val="none" w:sz="0" w:space="0" w:color="auto"/>
          </w:divBdr>
        </w:div>
        <w:div w:id="2054309740">
          <w:marLeft w:val="0"/>
          <w:marRight w:val="0"/>
          <w:marTop w:val="0"/>
          <w:marBottom w:val="150"/>
          <w:divBdr>
            <w:top w:val="none" w:sz="0" w:space="0" w:color="auto"/>
            <w:left w:val="none" w:sz="0" w:space="0" w:color="auto"/>
            <w:bottom w:val="none" w:sz="0" w:space="0" w:color="auto"/>
            <w:right w:val="none" w:sz="0" w:space="0" w:color="auto"/>
          </w:divBdr>
        </w:div>
      </w:divsChild>
    </w:div>
    <w:div w:id="2138064478">
      <w:bodyDiv w:val="1"/>
      <w:marLeft w:val="0"/>
      <w:marRight w:val="0"/>
      <w:marTop w:val="0"/>
      <w:marBottom w:val="0"/>
      <w:divBdr>
        <w:top w:val="none" w:sz="0" w:space="0" w:color="auto"/>
        <w:left w:val="none" w:sz="0" w:space="0" w:color="auto"/>
        <w:bottom w:val="none" w:sz="0" w:space="0" w:color="auto"/>
        <w:right w:val="none" w:sz="0" w:space="0" w:color="auto"/>
      </w:divBdr>
    </w:div>
    <w:div w:id="21443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A5700-8837-4397-93F3-E86B2A0E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Farrenkopf</dc:creator>
  <cp:lastModifiedBy>Kim Farrenkopf</cp:lastModifiedBy>
  <cp:revision>2</cp:revision>
  <cp:lastPrinted>2025-05-19T12:33:00Z</cp:lastPrinted>
  <dcterms:created xsi:type="dcterms:W3CDTF">2025-06-02T12:56:00Z</dcterms:created>
  <dcterms:modified xsi:type="dcterms:W3CDTF">2025-06-02T12:56:00Z</dcterms:modified>
</cp:coreProperties>
</file>