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CellSpacing w:w="0" w:type="dxa"/>
        <w:shd w:val="clear" w:color="auto" w:fill="FFFFFF"/>
        <w:tblCellMar>
          <w:left w:w="0" w:type="dxa"/>
          <w:right w:w="0" w:type="dxa"/>
        </w:tblCellMar>
        <w:tblLook w:val="04A0" w:firstRow="1" w:lastRow="0" w:firstColumn="1" w:lastColumn="0" w:noHBand="0" w:noVBand="1"/>
      </w:tblPr>
      <w:tblGrid>
        <w:gridCol w:w="10800"/>
      </w:tblGrid>
      <w:tr w:rsidR="00861EF8" w:rsidRPr="00861EF8" w14:paraId="0C0575C6" w14:textId="77777777" w:rsidTr="00861EF8">
        <w:trPr>
          <w:tblCellSpacing w:w="0" w:type="dxa"/>
        </w:trPr>
        <w:tc>
          <w:tcPr>
            <w:tcW w:w="0" w:type="auto"/>
            <w:shd w:val="clear" w:color="auto" w:fill="FFFFFF"/>
            <w:tcMar>
              <w:top w:w="0" w:type="dxa"/>
              <w:left w:w="450" w:type="dxa"/>
              <w:bottom w:w="0" w:type="dxa"/>
              <w:right w:w="30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50"/>
            </w:tblGrid>
            <w:tr w:rsidR="00861EF8" w:rsidRPr="00861EF8" w14:paraId="23D9471F" w14:textId="77777777">
              <w:trPr>
                <w:tblCellSpacing w:w="15" w:type="dxa"/>
              </w:trPr>
              <w:tc>
                <w:tcPr>
                  <w:tcW w:w="0" w:type="auto"/>
                  <w:vAlign w:val="center"/>
                  <w:hideMark/>
                </w:tcPr>
                <w:tbl>
                  <w:tblPr>
                    <w:tblW w:w="5000" w:type="pct"/>
                    <w:jc w:val="center"/>
                    <w:tblCellSpacing w:w="75" w:type="dxa"/>
                    <w:tblCellMar>
                      <w:left w:w="0" w:type="dxa"/>
                      <w:right w:w="0" w:type="dxa"/>
                    </w:tblCellMar>
                    <w:tblLook w:val="04A0" w:firstRow="1" w:lastRow="0" w:firstColumn="1" w:lastColumn="0" w:noHBand="0" w:noVBand="1"/>
                  </w:tblPr>
                  <w:tblGrid>
                    <w:gridCol w:w="9960"/>
                  </w:tblGrid>
                  <w:tr w:rsidR="00861EF8" w:rsidRPr="00861EF8" w14:paraId="678ED82A" w14:textId="77777777">
                    <w:trPr>
                      <w:tblCellSpacing w:w="75" w:type="dxa"/>
                      <w:jc w:val="center"/>
                    </w:trPr>
                    <w:tc>
                      <w:tcPr>
                        <w:tcW w:w="0" w:type="auto"/>
                        <w:vAlign w:val="center"/>
                        <w:hideMark/>
                      </w:tcPr>
                      <w:p w14:paraId="75CA28DF" w14:textId="77777777" w:rsidR="00861EF8" w:rsidRPr="00861EF8" w:rsidRDefault="00861EF8" w:rsidP="00861EF8">
                        <w:pPr>
                          <w:spacing w:after="0" w:line="240" w:lineRule="auto"/>
                          <w:rPr>
                            <w:rFonts w:ascii="Times New Roman" w:eastAsia="Times New Roman" w:hAnsi="Times New Roman" w:cs="Times New Roman"/>
                            <w:b/>
                            <w:bCs/>
                            <w:caps/>
                            <w:sz w:val="24"/>
                            <w:szCs w:val="24"/>
                          </w:rPr>
                        </w:pPr>
                        <w:r w:rsidRPr="00861EF8">
                          <w:rPr>
                            <w:rFonts w:ascii="Times New Roman" w:eastAsia="Times New Roman" w:hAnsi="Times New Roman" w:cs="Times New Roman"/>
                            <w:b/>
                            <w:bCs/>
                            <w:caps/>
                            <w:sz w:val="24"/>
                            <w:szCs w:val="24"/>
                          </w:rPr>
                          <w:t>Market Week: June 2, 2025</w:t>
                        </w:r>
                      </w:p>
                    </w:tc>
                  </w:tr>
                  <w:tr w:rsidR="00861EF8" w:rsidRPr="00861EF8" w14:paraId="4F4BAC37" w14:textId="77777777">
                    <w:trPr>
                      <w:tblCellSpacing w:w="75" w:type="dxa"/>
                      <w:jc w:val="center"/>
                    </w:trPr>
                    <w:tc>
                      <w:tcPr>
                        <w:tcW w:w="0" w:type="auto"/>
                        <w:shd w:val="clear" w:color="auto" w:fill="DFE7E7"/>
                        <w:tcMar>
                          <w:top w:w="150" w:type="dxa"/>
                          <w:left w:w="300" w:type="dxa"/>
                          <w:bottom w:w="150" w:type="dxa"/>
                          <w:right w:w="300" w:type="dxa"/>
                        </w:tcMar>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060"/>
                        </w:tblGrid>
                        <w:tr w:rsidR="00861EF8" w:rsidRPr="00861EF8" w14:paraId="4A3FAE68" w14:textId="77777777">
                          <w:trPr>
                            <w:tblCellSpacing w:w="15" w:type="dxa"/>
                            <w:jc w:val="center"/>
                          </w:trPr>
                          <w:tc>
                            <w:tcPr>
                              <w:tcW w:w="0" w:type="auto"/>
                              <w:vAlign w:val="center"/>
                              <w:hideMark/>
                            </w:tcPr>
                            <w:p w14:paraId="6E07A57C" w14:textId="77777777" w:rsidR="00861EF8" w:rsidRPr="00861EF8" w:rsidRDefault="00861EF8" w:rsidP="00861EF8">
                              <w:pPr>
                                <w:spacing w:before="100" w:beforeAutospacing="1" w:after="100" w:afterAutospacing="1" w:line="240" w:lineRule="auto"/>
                                <w:outlineLvl w:val="1"/>
                                <w:rPr>
                                  <w:rFonts w:ascii="Times New Roman" w:eastAsia="Times New Roman" w:hAnsi="Times New Roman" w:cs="Times New Roman"/>
                                  <w:b/>
                                  <w:bCs/>
                                  <w:color w:val="000000"/>
                                  <w:sz w:val="24"/>
                                  <w:szCs w:val="24"/>
                                </w:rPr>
                              </w:pPr>
                              <w:proofErr w:type="gramStart"/>
                              <w:r w:rsidRPr="00861EF8">
                                <w:rPr>
                                  <w:rFonts w:ascii="Times New Roman" w:eastAsia="Times New Roman" w:hAnsi="Times New Roman" w:cs="Times New Roman"/>
                                  <w:b/>
                                  <w:bCs/>
                                  <w:color w:val="000000"/>
                                  <w:sz w:val="24"/>
                                  <w:szCs w:val="24"/>
                                </w:rPr>
                                <w:t>The Markets</w:t>
                              </w:r>
                              <w:proofErr w:type="gramEnd"/>
                              <w:r w:rsidRPr="00861EF8">
                                <w:rPr>
                                  <w:rFonts w:ascii="Times New Roman" w:eastAsia="Times New Roman" w:hAnsi="Times New Roman" w:cs="Times New Roman"/>
                                  <w:b/>
                                  <w:bCs/>
                                  <w:color w:val="000000"/>
                                  <w:sz w:val="24"/>
                                  <w:szCs w:val="24"/>
                                </w:rPr>
                                <w:t xml:space="preserve"> (as of market close May 30, 2025)</w:t>
                              </w:r>
                            </w:p>
                            <w:p w14:paraId="36648B45" w14:textId="77777777" w:rsidR="00861EF8" w:rsidRPr="00861EF8" w:rsidRDefault="00861EF8" w:rsidP="00861EF8">
                              <w:pPr>
                                <w:spacing w:after="105" w:line="240" w:lineRule="auto"/>
                                <w:rPr>
                                  <w:rFonts w:ascii="Arial" w:eastAsia="Times New Roman" w:hAnsi="Arial" w:cs="Arial"/>
                                  <w:color w:val="000000"/>
                                  <w:sz w:val="24"/>
                                  <w:szCs w:val="24"/>
                                </w:rPr>
                              </w:pPr>
                              <w:r w:rsidRPr="00861EF8">
                                <w:rPr>
                                  <w:rFonts w:ascii="Arial" w:eastAsia="Times New Roman" w:hAnsi="Arial" w:cs="Arial"/>
                                  <w:color w:val="000000"/>
                                  <w:sz w:val="24"/>
                                  <w:szCs w:val="24"/>
                                </w:rPr>
                                <w:t xml:space="preserve">Despite a dip at the end of the week, stocks closed last week higher as investors digested renewed trade tensions with China, while inflation showed signs of cooling. Each of the benchmark indexes ended the week higher, </w:t>
                              </w:r>
                              <w:proofErr w:type="gramStart"/>
                              <w:r w:rsidRPr="00861EF8">
                                <w:rPr>
                                  <w:rFonts w:ascii="Arial" w:eastAsia="Times New Roman" w:hAnsi="Arial" w:cs="Arial"/>
                                  <w:color w:val="000000"/>
                                  <w:sz w:val="24"/>
                                  <w:szCs w:val="24"/>
                                </w:rPr>
                                <w:t>riding</w:t>
                              </w:r>
                              <w:proofErr w:type="gramEnd"/>
                              <w:r w:rsidRPr="00861EF8">
                                <w:rPr>
                                  <w:rFonts w:ascii="Arial" w:eastAsia="Times New Roman" w:hAnsi="Arial" w:cs="Arial"/>
                                  <w:color w:val="000000"/>
                                  <w:sz w:val="24"/>
                                  <w:szCs w:val="24"/>
                                </w:rPr>
                                <w:t xml:space="preserve"> solid gains in tech shares. </w:t>
                              </w:r>
                              <w:proofErr w:type="gramStart"/>
                              <w:r w:rsidRPr="00861EF8">
                                <w:rPr>
                                  <w:rFonts w:ascii="Arial" w:eastAsia="Times New Roman" w:hAnsi="Arial" w:cs="Arial"/>
                                  <w:color w:val="000000"/>
                                  <w:sz w:val="24"/>
                                  <w:szCs w:val="24"/>
                                </w:rPr>
                                <w:t>All of</w:t>
                              </w:r>
                              <w:proofErr w:type="gramEnd"/>
                              <w:r w:rsidRPr="00861EF8">
                                <w:rPr>
                                  <w:rFonts w:ascii="Arial" w:eastAsia="Times New Roman" w:hAnsi="Arial" w:cs="Arial"/>
                                  <w:color w:val="000000"/>
                                  <w:sz w:val="24"/>
                                  <w:szCs w:val="24"/>
                                </w:rPr>
                                <w:t xml:space="preserve"> the market sectors closed the week with gains, with notable advances in information technology, consumer discretionary, real estate, and financials. Long-term bond yields declined. Crude oil prices fell for the second week in a row. The dollar continued to slip lower, while gold prices fell as traders moved from safety to risk.</w:t>
                              </w:r>
                            </w:p>
                          </w:tc>
                        </w:tr>
                      </w:tbl>
                      <w:p w14:paraId="0812AB8B" w14:textId="77777777" w:rsidR="00861EF8" w:rsidRPr="00861EF8" w:rsidRDefault="00861EF8" w:rsidP="00861EF8">
                        <w:pPr>
                          <w:spacing w:after="0" w:line="240" w:lineRule="auto"/>
                          <w:rPr>
                            <w:rFonts w:ascii="Times New Roman" w:eastAsia="Times New Roman" w:hAnsi="Times New Roman" w:cs="Times New Roman"/>
                            <w:sz w:val="24"/>
                            <w:szCs w:val="24"/>
                          </w:rPr>
                        </w:pPr>
                      </w:p>
                    </w:tc>
                  </w:tr>
                  <w:tr w:rsidR="00861EF8" w:rsidRPr="00861EF8" w14:paraId="6EE4B6E2" w14:textId="77777777">
                    <w:trPr>
                      <w:tblCellSpacing w:w="75" w:type="dxa"/>
                      <w:jc w:val="center"/>
                    </w:trPr>
                    <w:tc>
                      <w:tcPr>
                        <w:tcW w:w="0" w:type="auto"/>
                        <w:vAlign w:val="center"/>
                        <w:hideMark/>
                      </w:tcPr>
                      <w:p w14:paraId="251AA714" w14:textId="77777777" w:rsidR="00861EF8" w:rsidRPr="00861EF8" w:rsidRDefault="00861EF8" w:rsidP="00861EF8">
                        <w:pPr>
                          <w:spacing w:after="75" w:line="240" w:lineRule="auto"/>
                          <w:outlineLvl w:val="2"/>
                          <w:rPr>
                            <w:rFonts w:ascii="Arial" w:eastAsia="Times New Roman" w:hAnsi="Arial" w:cs="Arial"/>
                            <w:b/>
                            <w:bCs/>
                            <w:color w:val="336666"/>
                            <w:sz w:val="24"/>
                            <w:szCs w:val="24"/>
                          </w:rPr>
                        </w:pPr>
                        <w:r w:rsidRPr="00861EF8">
                          <w:rPr>
                            <w:rFonts w:ascii="Arial" w:eastAsia="Times New Roman" w:hAnsi="Arial" w:cs="Arial"/>
                            <w:b/>
                            <w:bCs/>
                            <w:color w:val="336666"/>
                            <w:sz w:val="24"/>
                            <w:szCs w:val="24"/>
                          </w:rPr>
                          <w:t>Stock Market Indexes</w:t>
                        </w:r>
                      </w:p>
                      <w:tbl>
                        <w:tblPr>
                          <w:tblW w:w="5000" w:type="pct"/>
                          <w:tblCellSpacing w:w="0" w:type="dxa"/>
                          <w:tblBorders>
                            <w:top w:val="single" w:sz="6" w:space="0" w:color="336666"/>
                          </w:tblBorders>
                          <w:tblCellMar>
                            <w:top w:w="150" w:type="dxa"/>
                            <w:left w:w="45" w:type="dxa"/>
                            <w:bottom w:w="45" w:type="dxa"/>
                            <w:right w:w="45" w:type="dxa"/>
                          </w:tblCellMar>
                          <w:tblLook w:val="04A0" w:firstRow="1" w:lastRow="0" w:firstColumn="1" w:lastColumn="0" w:noHBand="0" w:noVBand="1"/>
                        </w:tblPr>
                        <w:tblGrid>
                          <w:gridCol w:w="2245"/>
                          <w:gridCol w:w="1417"/>
                          <w:gridCol w:w="1417"/>
                          <w:gridCol w:w="1417"/>
                          <w:gridCol w:w="1713"/>
                          <w:gridCol w:w="1451"/>
                        </w:tblGrid>
                        <w:tr w:rsidR="00861EF8" w:rsidRPr="00861EF8" w14:paraId="7E78B4DE" w14:textId="77777777">
                          <w:trPr>
                            <w:tblCellSpacing w:w="0" w:type="dxa"/>
                          </w:trPr>
                          <w:tc>
                            <w:tcPr>
                              <w:tcW w:w="0" w:type="auto"/>
                              <w:hideMark/>
                            </w:tcPr>
                            <w:p w14:paraId="0A886FBA" w14:textId="77777777" w:rsidR="00861EF8" w:rsidRPr="00861EF8" w:rsidRDefault="00861EF8" w:rsidP="00861EF8">
                              <w:pPr>
                                <w:spacing w:before="150" w:after="150" w:line="240" w:lineRule="auto"/>
                                <w:rPr>
                                  <w:rFonts w:ascii="Times New Roman" w:eastAsia="Times New Roman" w:hAnsi="Times New Roman" w:cs="Times New Roman"/>
                                  <w:b/>
                                  <w:bCs/>
                                  <w:sz w:val="18"/>
                                  <w:szCs w:val="18"/>
                                </w:rPr>
                              </w:pPr>
                              <w:r w:rsidRPr="00861EF8">
                                <w:rPr>
                                  <w:rFonts w:ascii="Times New Roman" w:eastAsia="Times New Roman" w:hAnsi="Times New Roman" w:cs="Times New Roman"/>
                                  <w:b/>
                                  <w:bCs/>
                                  <w:sz w:val="18"/>
                                  <w:szCs w:val="18"/>
                                </w:rPr>
                                <w:t>Market/Index</w:t>
                              </w:r>
                            </w:p>
                          </w:tc>
                          <w:tc>
                            <w:tcPr>
                              <w:tcW w:w="0" w:type="auto"/>
                              <w:hideMark/>
                            </w:tcPr>
                            <w:p w14:paraId="2F32F4A9" w14:textId="77777777" w:rsidR="00861EF8" w:rsidRPr="00861EF8" w:rsidRDefault="00861EF8" w:rsidP="00861EF8">
                              <w:pPr>
                                <w:spacing w:before="150" w:after="150" w:line="240" w:lineRule="auto"/>
                                <w:rPr>
                                  <w:rFonts w:ascii="Times New Roman" w:eastAsia="Times New Roman" w:hAnsi="Times New Roman" w:cs="Times New Roman"/>
                                  <w:b/>
                                  <w:bCs/>
                                  <w:sz w:val="18"/>
                                  <w:szCs w:val="18"/>
                                </w:rPr>
                              </w:pPr>
                              <w:r w:rsidRPr="00861EF8">
                                <w:rPr>
                                  <w:rFonts w:ascii="Times New Roman" w:eastAsia="Times New Roman" w:hAnsi="Times New Roman" w:cs="Times New Roman"/>
                                  <w:b/>
                                  <w:bCs/>
                                  <w:sz w:val="18"/>
                                  <w:szCs w:val="18"/>
                                </w:rPr>
                                <w:t>2024 Close</w:t>
                              </w:r>
                            </w:p>
                          </w:tc>
                          <w:tc>
                            <w:tcPr>
                              <w:tcW w:w="0" w:type="auto"/>
                              <w:hideMark/>
                            </w:tcPr>
                            <w:p w14:paraId="50E0B2D0" w14:textId="77777777" w:rsidR="00861EF8" w:rsidRPr="00861EF8" w:rsidRDefault="00861EF8" w:rsidP="00861EF8">
                              <w:pPr>
                                <w:spacing w:before="150" w:after="150" w:line="240" w:lineRule="auto"/>
                                <w:rPr>
                                  <w:rFonts w:ascii="Times New Roman" w:eastAsia="Times New Roman" w:hAnsi="Times New Roman" w:cs="Times New Roman"/>
                                  <w:b/>
                                  <w:bCs/>
                                  <w:sz w:val="18"/>
                                  <w:szCs w:val="18"/>
                                </w:rPr>
                              </w:pPr>
                              <w:r w:rsidRPr="00861EF8">
                                <w:rPr>
                                  <w:rFonts w:ascii="Times New Roman" w:eastAsia="Times New Roman" w:hAnsi="Times New Roman" w:cs="Times New Roman"/>
                                  <w:b/>
                                  <w:bCs/>
                                  <w:sz w:val="18"/>
                                  <w:szCs w:val="18"/>
                                </w:rPr>
                                <w:t>Prior Week</w:t>
                              </w:r>
                            </w:p>
                          </w:tc>
                          <w:tc>
                            <w:tcPr>
                              <w:tcW w:w="0" w:type="auto"/>
                              <w:hideMark/>
                            </w:tcPr>
                            <w:p w14:paraId="5738B0F9" w14:textId="77777777" w:rsidR="00861EF8" w:rsidRPr="00861EF8" w:rsidRDefault="00861EF8" w:rsidP="00861EF8">
                              <w:pPr>
                                <w:spacing w:before="150" w:after="150" w:line="240" w:lineRule="auto"/>
                                <w:rPr>
                                  <w:rFonts w:ascii="Times New Roman" w:eastAsia="Times New Roman" w:hAnsi="Times New Roman" w:cs="Times New Roman"/>
                                  <w:b/>
                                  <w:bCs/>
                                  <w:sz w:val="18"/>
                                  <w:szCs w:val="18"/>
                                </w:rPr>
                              </w:pPr>
                              <w:r w:rsidRPr="00861EF8">
                                <w:rPr>
                                  <w:rFonts w:ascii="Times New Roman" w:eastAsia="Times New Roman" w:hAnsi="Times New Roman" w:cs="Times New Roman"/>
                                  <w:b/>
                                  <w:bCs/>
                                  <w:sz w:val="18"/>
                                  <w:szCs w:val="18"/>
                                </w:rPr>
                                <w:t>As of 5/30</w:t>
                              </w:r>
                            </w:p>
                          </w:tc>
                          <w:tc>
                            <w:tcPr>
                              <w:tcW w:w="0" w:type="auto"/>
                              <w:hideMark/>
                            </w:tcPr>
                            <w:p w14:paraId="34EA3160" w14:textId="77777777" w:rsidR="00861EF8" w:rsidRPr="00861EF8" w:rsidRDefault="00861EF8" w:rsidP="00861EF8">
                              <w:pPr>
                                <w:spacing w:before="150" w:after="150" w:line="240" w:lineRule="auto"/>
                                <w:rPr>
                                  <w:rFonts w:ascii="Times New Roman" w:eastAsia="Times New Roman" w:hAnsi="Times New Roman" w:cs="Times New Roman"/>
                                  <w:b/>
                                  <w:bCs/>
                                  <w:sz w:val="18"/>
                                  <w:szCs w:val="18"/>
                                </w:rPr>
                              </w:pPr>
                              <w:r w:rsidRPr="00861EF8">
                                <w:rPr>
                                  <w:rFonts w:ascii="Times New Roman" w:eastAsia="Times New Roman" w:hAnsi="Times New Roman" w:cs="Times New Roman"/>
                                  <w:b/>
                                  <w:bCs/>
                                  <w:sz w:val="18"/>
                                  <w:szCs w:val="18"/>
                                </w:rPr>
                                <w:t>Weekly Change</w:t>
                              </w:r>
                            </w:p>
                          </w:tc>
                          <w:tc>
                            <w:tcPr>
                              <w:tcW w:w="0" w:type="auto"/>
                              <w:hideMark/>
                            </w:tcPr>
                            <w:p w14:paraId="1774FF74" w14:textId="77777777" w:rsidR="00861EF8" w:rsidRPr="00861EF8" w:rsidRDefault="00861EF8" w:rsidP="00861EF8">
                              <w:pPr>
                                <w:spacing w:before="150" w:after="150" w:line="240" w:lineRule="auto"/>
                                <w:rPr>
                                  <w:rFonts w:ascii="Times New Roman" w:eastAsia="Times New Roman" w:hAnsi="Times New Roman" w:cs="Times New Roman"/>
                                  <w:b/>
                                  <w:bCs/>
                                  <w:sz w:val="18"/>
                                  <w:szCs w:val="18"/>
                                </w:rPr>
                              </w:pPr>
                              <w:r w:rsidRPr="00861EF8">
                                <w:rPr>
                                  <w:rFonts w:ascii="Times New Roman" w:eastAsia="Times New Roman" w:hAnsi="Times New Roman" w:cs="Times New Roman"/>
                                  <w:b/>
                                  <w:bCs/>
                                  <w:sz w:val="18"/>
                                  <w:szCs w:val="18"/>
                                </w:rPr>
                                <w:t>YTD Change</w:t>
                              </w:r>
                            </w:p>
                          </w:tc>
                        </w:tr>
                        <w:tr w:rsidR="00861EF8" w:rsidRPr="00861EF8" w14:paraId="75612594" w14:textId="77777777">
                          <w:trPr>
                            <w:tblCellSpacing w:w="0" w:type="dxa"/>
                          </w:trPr>
                          <w:tc>
                            <w:tcPr>
                              <w:tcW w:w="0" w:type="auto"/>
                              <w:shd w:val="clear" w:color="auto" w:fill="DFE7E7"/>
                              <w:hideMark/>
                            </w:tcPr>
                            <w:p w14:paraId="77BF9D89" w14:textId="77777777" w:rsidR="00861EF8" w:rsidRPr="00861EF8" w:rsidRDefault="00861EF8" w:rsidP="00861EF8">
                              <w:pPr>
                                <w:spacing w:before="150" w:after="150" w:line="240" w:lineRule="auto"/>
                                <w:rPr>
                                  <w:rFonts w:ascii="Times New Roman" w:eastAsia="Times New Roman" w:hAnsi="Times New Roman" w:cs="Times New Roman"/>
                                  <w:b/>
                                  <w:bCs/>
                                  <w:sz w:val="18"/>
                                  <w:szCs w:val="18"/>
                                </w:rPr>
                              </w:pPr>
                              <w:r w:rsidRPr="00861EF8">
                                <w:rPr>
                                  <w:rFonts w:ascii="Times New Roman" w:eastAsia="Times New Roman" w:hAnsi="Times New Roman" w:cs="Times New Roman"/>
                                  <w:b/>
                                  <w:bCs/>
                                  <w:sz w:val="18"/>
                                  <w:szCs w:val="18"/>
                                </w:rPr>
                                <w:t>DJIA</w:t>
                              </w:r>
                            </w:p>
                          </w:tc>
                          <w:tc>
                            <w:tcPr>
                              <w:tcW w:w="0" w:type="auto"/>
                              <w:shd w:val="clear" w:color="auto" w:fill="DFE7E7"/>
                              <w:hideMark/>
                            </w:tcPr>
                            <w:p w14:paraId="0D0B7866"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42,544.22</w:t>
                              </w:r>
                            </w:p>
                          </w:tc>
                          <w:tc>
                            <w:tcPr>
                              <w:tcW w:w="0" w:type="auto"/>
                              <w:shd w:val="clear" w:color="auto" w:fill="DFE7E7"/>
                              <w:hideMark/>
                            </w:tcPr>
                            <w:p w14:paraId="0C169CA0"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41,603.07</w:t>
                              </w:r>
                            </w:p>
                          </w:tc>
                          <w:tc>
                            <w:tcPr>
                              <w:tcW w:w="0" w:type="auto"/>
                              <w:shd w:val="clear" w:color="auto" w:fill="DFE7E7"/>
                              <w:hideMark/>
                            </w:tcPr>
                            <w:p w14:paraId="5A83691C"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42,270.07</w:t>
                              </w:r>
                            </w:p>
                          </w:tc>
                          <w:tc>
                            <w:tcPr>
                              <w:tcW w:w="0" w:type="auto"/>
                              <w:shd w:val="clear" w:color="auto" w:fill="DFE7E7"/>
                              <w:hideMark/>
                            </w:tcPr>
                            <w:p w14:paraId="7E643FD8"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1.60%</w:t>
                              </w:r>
                            </w:p>
                          </w:tc>
                          <w:tc>
                            <w:tcPr>
                              <w:tcW w:w="0" w:type="auto"/>
                              <w:shd w:val="clear" w:color="auto" w:fill="DFE7E7"/>
                              <w:hideMark/>
                            </w:tcPr>
                            <w:p w14:paraId="66F23827"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-0.64%</w:t>
                              </w:r>
                            </w:p>
                          </w:tc>
                        </w:tr>
                        <w:tr w:rsidR="00861EF8" w:rsidRPr="00861EF8" w14:paraId="3751B716" w14:textId="77777777">
                          <w:trPr>
                            <w:tblCellSpacing w:w="0" w:type="dxa"/>
                          </w:trPr>
                          <w:tc>
                            <w:tcPr>
                              <w:tcW w:w="0" w:type="auto"/>
                              <w:hideMark/>
                            </w:tcPr>
                            <w:p w14:paraId="2AEB90CF" w14:textId="77777777" w:rsidR="00861EF8" w:rsidRPr="00861EF8" w:rsidRDefault="00861EF8" w:rsidP="00861EF8">
                              <w:pPr>
                                <w:spacing w:before="150" w:after="150" w:line="240" w:lineRule="auto"/>
                                <w:rPr>
                                  <w:rFonts w:ascii="Times New Roman" w:eastAsia="Times New Roman" w:hAnsi="Times New Roman" w:cs="Times New Roman"/>
                                  <w:b/>
                                  <w:bCs/>
                                  <w:sz w:val="18"/>
                                  <w:szCs w:val="18"/>
                                </w:rPr>
                              </w:pPr>
                              <w:r w:rsidRPr="00861EF8">
                                <w:rPr>
                                  <w:rFonts w:ascii="Times New Roman" w:eastAsia="Times New Roman" w:hAnsi="Times New Roman" w:cs="Times New Roman"/>
                                  <w:b/>
                                  <w:bCs/>
                                  <w:sz w:val="18"/>
                                  <w:szCs w:val="18"/>
                                </w:rPr>
                                <w:t>NASDAQ</w:t>
                              </w:r>
                            </w:p>
                          </w:tc>
                          <w:tc>
                            <w:tcPr>
                              <w:tcW w:w="0" w:type="auto"/>
                              <w:hideMark/>
                            </w:tcPr>
                            <w:p w14:paraId="2A1F1A5C"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19,310.79</w:t>
                              </w:r>
                            </w:p>
                          </w:tc>
                          <w:tc>
                            <w:tcPr>
                              <w:tcW w:w="0" w:type="auto"/>
                              <w:hideMark/>
                            </w:tcPr>
                            <w:p w14:paraId="06430801"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18,737.21</w:t>
                              </w:r>
                            </w:p>
                          </w:tc>
                          <w:tc>
                            <w:tcPr>
                              <w:tcW w:w="0" w:type="auto"/>
                              <w:hideMark/>
                            </w:tcPr>
                            <w:p w14:paraId="5496B3E7"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19,113.77</w:t>
                              </w:r>
                            </w:p>
                          </w:tc>
                          <w:tc>
                            <w:tcPr>
                              <w:tcW w:w="0" w:type="auto"/>
                              <w:hideMark/>
                            </w:tcPr>
                            <w:p w14:paraId="34807ED5"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2.01%</w:t>
                              </w:r>
                            </w:p>
                          </w:tc>
                          <w:tc>
                            <w:tcPr>
                              <w:tcW w:w="0" w:type="auto"/>
                              <w:hideMark/>
                            </w:tcPr>
                            <w:p w14:paraId="408E8A05"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-1.02%</w:t>
                              </w:r>
                            </w:p>
                          </w:tc>
                        </w:tr>
                        <w:tr w:rsidR="00861EF8" w:rsidRPr="00861EF8" w14:paraId="75D135E0" w14:textId="77777777">
                          <w:trPr>
                            <w:tblCellSpacing w:w="0" w:type="dxa"/>
                          </w:trPr>
                          <w:tc>
                            <w:tcPr>
                              <w:tcW w:w="0" w:type="auto"/>
                              <w:shd w:val="clear" w:color="auto" w:fill="DFE7E7"/>
                              <w:hideMark/>
                            </w:tcPr>
                            <w:p w14:paraId="54E99597" w14:textId="77777777" w:rsidR="00861EF8" w:rsidRPr="00861EF8" w:rsidRDefault="00861EF8" w:rsidP="00861EF8">
                              <w:pPr>
                                <w:spacing w:before="150" w:after="150" w:line="240" w:lineRule="auto"/>
                                <w:rPr>
                                  <w:rFonts w:ascii="Times New Roman" w:eastAsia="Times New Roman" w:hAnsi="Times New Roman" w:cs="Times New Roman"/>
                                  <w:b/>
                                  <w:bCs/>
                                  <w:sz w:val="18"/>
                                  <w:szCs w:val="18"/>
                                </w:rPr>
                              </w:pPr>
                              <w:r w:rsidRPr="00861EF8">
                                <w:rPr>
                                  <w:rFonts w:ascii="Times New Roman" w:eastAsia="Times New Roman" w:hAnsi="Times New Roman" w:cs="Times New Roman"/>
                                  <w:b/>
                                  <w:bCs/>
                                  <w:sz w:val="18"/>
                                  <w:szCs w:val="18"/>
                                </w:rPr>
                                <w:t>S&amp;P 500</w:t>
                              </w:r>
                            </w:p>
                          </w:tc>
                          <w:tc>
                            <w:tcPr>
                              <w:tcW w:w="0" w:type="auto"/>
                              <w:shd w:val="clear" w:color="auto" w:fill="DFE7E7"/>
                              <w:hideMark/>
                            </w:tcPr>
                            <w:p w14:paraId="201CB074"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5,881.63</w:t>
                              </w:r>
                            </w:p>
                          </w:tc>
                          <w:tc>
                            <w:tcPr>
                              <w:tcW w:w="0" w:type="auto"/>
                              <w:shd w:val="clear" w:color="auto" w:fill="DFE7E7"/>
                              <w:hideMark/>
                            </w:tcPr>
                            <w:p w14:paraId="07AA0984"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5,802.82</w:t>
                              </w:r>
                            </w:p>
                          </w:tc>
                          <w:tc>
                            <w:tcPr>
                              <w:tcW w:w="0" w:type="auto"/>
                              <w:shd w:val="clear" w:color="auto" w:fill="DFE7E7"/>
                              <w:hideMark/>
                            </w:tcPr>
                            <w:p w14:paraId="213BC959"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5,911.69</w:t>
                              </w:r>
                            </w:p>
                          </w:tc>
                          <w:tc>
                            <w:tcPr>
                              <w:tcW w:w="0" w:type="auto"/>
                              <w:shd w:val="clear" w:color="auto" w:fill="DFE7E7"/>
                              <w:hideMark/>
                            </w:tcPr>
                            <w:p w14:paraId="0DA81E3F"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1.88%</w:t>
                              </w:r>
                            </w:p>
                          </w:tc>
                          <w:tc>
                            <w:tcPr>
                              <w:tcW w:w="0" w:type="auto"/>
                              <w:shd w:val="clear" w:color="auto" w:fill="DFE7E7"/>
                              <w:hideMark/>
                            </w:tcPr>
                            <w:p w14:paraId="059D123C"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0.51%</w:t>
                              </w:r>
                            </w:p>
                          </w:tc>
                        </w:tr>
                        <w:tr w:rsidR="00861EF8" w:rsidRPr="00861EF8" w14:paraId="69695EDD" w14:textId="77777777">
                          <w:trPr>
                            <w:tblCellSpacing w:w="0" w:type="dxa"/>
                          </w:trPr>
                          <w:tc>
                            <w:tcPr>
                              <w:tcW w:w="0" w:type="auto"/>
                              <w:hideMark/>
                            </w:tcPr>
                            <w:p w14:paraId="760CC769" w14:textId="77777777" w:rsidR="00861EF8" w:rsidRPr="00861EF8" w:rsidRDefault="00861EF8" w:rsidP="00861EF8">
                              <w:pPr>
                                <w:spacing w:before="150" w:after="150" w:line="240" w:lineRule="auto"/>
                                <w:rPr>
                                  <w:rFonts w:ascii="Times New Roman" w:eastAsia="Times New Roman" w:hAnsi="Times New Roman" w:cs="Times New Roman"/>
                                  <w:b/>
                                  <w:bCs/>
                                  <w:sz w:val="18"/>
                                  <w:szCs w:val="18"/>
                                </w:rPr>
                              </w:pPr>
                              <w:r w:rsidRPr="00861EF8">
                                <w:rPr>
                                  <w:rFonts w:ascii="Times New Roman" w:eastAsia="Times New Roman" w:hAnsi="Times New Roman" w:cs="Times New Roman"/>
                                  <w:b/>
                                  <w:bCs/>
                                  <w:sz w:val="18"/>
                                  <w:szCs w:val="18"/>
                                </w:rPr>
                                <w:t>Russell 2000</w:t>
                              </w:r>
                            </w:p>
                          </w:tc>
                          <w:tc>
                            <w:tcPr>
                              <w:tcW w:w="0" w:type="auto"/>
                              <w:hideMark/>
                            </w:tcPr>
                            <w:p w14:paraId="634AFCDB"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2,230.16</w:t>
                              </w:r>
                            </w:p>
                          </w:tc>
                          <w:tc>
                            <w:tcPr>
                              <w:tcW w:w="0" w:type="auto"/>
                              <w:hideMark/>
                            </w:tcPr>
                            <w:p w14:paraId="4ED3452F"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2,039.85</w:t>
                              </w:r>
                            </w:p>
                          </w:tc>
                          <w:tc>
                            <w:tcPr>
                              <w:tcW w:w="0" w:type="auto"/>
                              <w:hideMark/>
                            </w:tcPr>
                            <w:p w14:paraId="1A11FDEF"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2,066.29</w:t>
                              </w:r>
                            </w:p>
                          </w:tc>
                          <w:tc>
                            <w:tcPr>
                              <w:tcW w:w="0" w:type="auto"/>
                              <w:hideMark/>
                            </w:tcPr>
                            <w:p w14:paraId="3F4775D8"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1.30%</w:t>
                              </w:r>
                            </w:p>
                          </w:tc>
                          <w:tc>
                            <w:tcPr>
                              <w:tcW w:w="0" w:type="auto"/>
                              <w:hideMark/>
                            </w:tcPr>
                            <w:p w14:paraId="3380A5E7"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-7.35%</w:t>
                              </w:r>
                            </w:p>
                          </w:tc>
                        </w:tr>
                        <w:tr w:rsidR="00861EF8" w:rsidRPr="00861EF8" w14:paraId="044575E8" w14:textId="77777777">
                          <w:trPr>
                            <w:tblCellSpacing w:w="0" w:type="dxa"/>
                          </w:trPr>
                          <w:tc>
                            <w:tcPr>
                              <w:tcW w:w="0" w:type="auto"/>
                              <w:shd w:val="clear" w:color="auto" w:fill="DFE7E7"/>
                              <w:hideMark/>
                            </w:tcPr>
                            <w:p w14:paraId="0A693D39" w14:textId="77777777" w:rsidR="00861EF8" w:rsidRPr="00861EF8" w:rsidRDefault="00861EF8" w:rsidP="00861EF8">
                              <w:pPr>
                                <w:spacing w:before="150" w:after="150" w:line="240" w:lineRule="auto"/>
                                <w:rPr>
                                  <w:rFonts w:ascii="Times New Roman" w:eastAsia="Times New Roman" w:hAnsi="Times New Roman" w:cs="Times New Roman"/>
                                  <w:b/>
                                  <w:bCs/>
                                  <w:sz w:val="18"/>
                                  <w:szCs w:val="18"/>
                                </w:rPr>
                              </w:pPr>
                              <w:r w:rsidRPr="00861EF8">
                                <w:rPr>
                                  <w:rFonts w:ascii="Times New Roman" w:eastAsia="Times New Roman" w:hAnsi="Times New Roman" w:cs="Times New Roman"/>
                                  <w:b/>
                                  <w:bCs/>
                                  <w:sz w:val="18"/>
                                  <w:szCs w:val="18"/>
                                </w:rPr>
                                <w:t>Global Dow</w:t>
                              </w:r>
                            </w:p>
                          </w:tc>
                          <w:tc>
                            <w:tcPr>
                              <w:tcW w:w="0" w:type="auto"/>
                              <w:shd w:val="clear" w:color="auto" w:fill="DFE7E7"/>
                              <w:hideMark/>
                            </w:tcPr>
                            <w:p w14:paraId="025E6DA1"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4,863.01</w:t>
                              </w:r>
                            </w:p>
                          </w:tc>
                          <w:tc>
                            <w:tcPr>
                              <w:tcW w:w="0" w:type="auto"/>
                              <w:shd w:val="clear" w:color="auto" w:fill="DFE7E7"/>
                              <w:hideMark/>
                            </w:tcPr>
                            <w:p w14:paraId="7BA07C9F"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5,277.04</w:t>
                              </w:r>
                            </w:p>
                          </w:tc>
                          <w:tc>
                            <w:tcPr>
                              <w:tcW w:w="0" w:type="auto"/>
                              <w:shd w:val="clear" w:color="auto" w:fill="DFE7E7"/>
                              <w:hideMark/>
                            </w:tcPr>
                            <w:p w14:paraId="56D9D660"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5,326.27</w:t>
                              </w:r>
                            </w:p>
                          </w:tc>
                          <w:tc>
                            <w:tcPr>
                              <w:tcW w:w="0" w:type="auto"/>
                              <w:shd w:val="clear" w:color="auto" w:fill="DFE7E7"/>
                              <w:hideMark/>
                            </w:tcPr>
                            <w:p w14:paraId="7E01FFF5"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0.93%</w:t>
                              </w:r>
                            </w:p>
                          </w:tc>
                          <w:tc>
                            <w:tcPr>
                              <w:tcW w:w="0" w:type="auto"/>
                              <w:shd w:val="clear" w:color="auto" w:fill="DFE7E7"/>
                              <w:hideMark/>
                            </w:tcPr>
                            <w:p w14:paraId="2DC5471A"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9.53%</w:t>
                              </w:r>
                            </w:p>
                          </w:tc>
                        </w:tr>
                        <w:tr w:rsidR="00861EF8" w:rsidRPr="00861EF8" w14:paraId="481678F5" w14:textId="77777777">
                          <w:trPr>
                            <w:tblCellSpacing w:w="0" w:type="dxa"/>
                          </w:trPr>
                          <w:tc>
                            <w:tcPr>
                              <w:tcW w:w="0" w:type="auto"/>
                              <w:hideMark/>
                            </w:tcPr>
                            <w:p w14:paraId="77C9075D" w14:textId="77777777" w:rsidR="00861EF8" w:rsidRPr="00861EF8" w:rsidRDefault="00861EF8" w:rsidP="00861EF8">
                              <w:pPr>
                                <w:spacing w:before="150" w:after="150" w:line="240" w:lineRule="auto"/>
                                <w:rPr>
                                  <w:rFonts w:ascii="Times New Roman" w:eastAsia="Times New Roman" w:hAnsi="Times New Roman" w:cs="Times New Roman"/>
                                  <w:b/>
                                  <w:bCs/>
                                  <w:sz w:val="18"/>
                                  <w:szCs w:val="18"/>
                                </w:rPr>
                              </w:pPr>
                              <w:r w:rsidRPr="00861EF8">
                                <w:rPr>
                                  <w:rFonts w:ascii="Times New Roman" w:eastAsia="Times New Roman" w:hAnsi="Times New Roman" w:cs="Times New Roman"/>
                                  <w:b/>
                                  <w:bCs/>
                                  <w:sz w:val="18"/>
                                  <w:szCs w:val="18"/>
                                </w:rPr>
                                <w:t>fed. funds target rate</w:t>
                              </w:r>
                            </w:p>
                          </w:tc>
                          <w:tc>
                            <w:tcPr>
                              <w:tcW w:w="0" w:type="auto"/>
                              <w:hideMark/>
                            </w:tcPr>
                            <w:p w14:paraId="762C82ED"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4.25%-4.50%</w:t>
                              </w:r>
                            </w:p>
                          </w:tc>
                          <w:tc>
                            <w:tcPr>
                              <w:tcW w:w="0" w:type="auto"/>
                              <w:hideMark/>
                            </w:tcPr>
                            <w:p w14:paraId="24A7BFF3"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4.25%-4.50%</w:t>
                              </w:r>
                            </w:p>
                          </w:tc>
                          <w:tc>
                            <w:tcPr>
                              <w:tcW w:w="0" w:type="auto"/>
                              <w:hideMark/>
                            </w:tcPr>
                            <w:p w14:paraId="527B9EE0"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4.25%-4.50%</w:t>
                              </w:r>
                            </w:p>
                          </w:tc>
                          <w:tc>
                            <w:tcPr>
                              <w:tcW w:w="0" w:type="auto"/>
                              <w:hideMark/>
                            </w:tcPr>
                            <w:p w14:paraId="6B8AC9CB"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0 bps</w:t>
                              </w:r>
                            </w:p>
                          </w:tc>
                          <w:tc>
                            <w:tcPr>
                              <w:tcW w:w="0" w:type="auto"/>
                              <w:hideMark/>
                            </w:tcPr>
                            <w:p w14:paraId="466C6975"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0 bps</w:t>
                              </w:r>
                            </w:p>
                          </w:tc>
                        </w:tr>
                        <w:tr w:rsidR="00861EF8" w:rsidRPr="00861EF8" w14:paraId="2FCBBE64" w14:textId="77777777">
                          <w:trPr>
                            <w:tblCellSpacing w:w="0" w:type="dxa"/>
                          </w:trPr>
                          <w:tc>
                            <w:tcPr>
                              <w:tcW w:w="0" w:type="auto"/>
                              <w:shd w:val="clear" w:color="auto" w:fill="DFE7E7"/>
                              <w:hideMark/>
                            </w:tcPr>
                            <w:p w14:paraId="212B2579" w14:textId="77777777" w:rsidR="00861EF8" w:rsidRPr="00861EF8" w:rsidRDefault="00861EF8" w:rsidP="00861EF8">
                              <w:pPr>
                                <w:spacing w:before="150" w:after="150" w:line="240" w:lineRule="auto"/>
                                <w:rPr>
                                  <w:rFonts w:ascii="Times New Roman" w:eastAsia="Times New Roman" w:hAnsi="Times New Roman" w:cs="Times New Roman"/>
                                  <w:b/>
                                  <w:bCs/>
                                  <w:sz w:val="18"/>
                                  <w:szCs w:val="18"/>
                                </w:rPr>
                              </w:pPr>
                              <w:r w:rsidRPr="00861EF8">
                                <w:rPr>
                                  <w:rFonts w:ascii="Times New Roman" w:eastAsia="Times New Roman" w:hAnsi="Times New Roman" w:cs="Times New Roman"/>
                                  <w:b/>
                                  <w:bCs/>
                                  <w:sz w:val="18"/>
                                  <w:szCs w:val="18"/>
                                </w:rPr>
                                <w:t>10-year Treasuries</w:t>
                              </w:r>
                            </w:p>
                          </w:tc>
                          <w:tc>
                            <w:tcPr>
                              <w:tcW w:w="0" w:type="auto"/>
                              <w:shd w:val="clear" w:color="auto" w:fill="DFE7E7"/>
                              <w:hideMark/>
                            </w:tcPr>
                            <w:p w14:paraId="0F495DF7"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4.57%</w:t>
                              </w:r>
                            </w:p>
                          </w:tc>
                          <w:tc>
                            <w:tcPr>
                              <w:tcW w:w="0" w:type="auto"/>
                              <w:shd w:val="clear" w:color="auto" w:fill="DFE7E7"/>
                              <w:hideMark/>
                            </w:tcPr>
                            <w:p w14:paraId="0CA67964"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4.51%</w:t>
                              </w:r>
                            </w:p>
                          </w:tc>
                          <w:tc>
                            <w:tcPr>
                              <w:tcW w:w="0" w:type="auto"/>
                              <w:shd w:val="clear" w:color="auto" w:fill="DFE7E7"/>
                              <w:hideMark/>
                            </w:tcPr>
                            <w:p w14:paraId="698BAEB1"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4.40%</w:t>
                              </w:r>
                            </w:p>
                          </w:tc>
                          <w:tc>
                            <w:tcPr>
                              <w:tcW w:w="0" w:type="auto"/>
                              <w:shd w:val="clear" w:color="auto" w:fill="DFE7E7"/>
                              <w:hideMark/>
                            </w:tcPr>
                            <w:p w14:paraId="2EB9B370"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-11 bps</w:t>
                              </w:r>
                            </w:p>
                          </w:tc>
                          <w:tc>
                            <w:tcPr>
                              <w:tcW w:w="0" w:type="auto"/>
                              <w:shd w:val="clear" w:color="auto" w:fill="DFE7E7"/>
                              <w:hideMark/>
                            </w:tcPr>
                            <w:p w14:paraId="2525A22F"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-17 bps</w:t>
                              </w:r>
                            </w:p>
                          </w:tc>
                        </w:tr>
                        <w:tr w:rsidR="00861EF8" w:rsidRPr="00861EF8" w14:paraId="0723524B" w14:textId="77777777">
                          <w:trPr>
                            <w:tblCellSpacing w:w="0" w:type="dxa"/>
                          </w:trPr>
                          <w:tc>
                            <w:tcPr>
                              <w:tcW w:w="0" w:type="auto"/>
                              <w:shd w:val="clear" w:color="auto" w:fill="DFE7E7"/>
                              <w:hideMark/>
                            </w:tcPr>
                            <w:p w14:paraId="3653C996" w14:textId="77777777" w:rsidR="00861EF8" w:rsidRPr="00861EF8" w:rsidRDefault="00861EF8" w:rsidP="00861EF8">
                              <w:pPr>
                                <w:spacing w:before="150" w:after="150" w:line="240" w:lineRule="auto"/>
                                <w:rPr>
                                  <w:rFonts w:ascii="Times New Roman" w:eastAsia="Times New Roman" w:hAnsi="Times New Roman" w:cs="Times New Roman"/>
                                  <w:b/>
                                  <w:bCs/>
                                  <w:sz w:val="18"/>
                                  <w:szCs w:val="18"/>
                                </w:rPr>
                              </w:pPr>
                              <w:r w:rsidRPr="00861EF8">
                                <w:rPr>
                                  <w:rFonts w:ascii="Times New Roman" w:eastAsia="Times New Roman" w:hAnsi="Times New Roman" w:cs="Times New Roman"/>
                                  <w:b/>
                                  <w:bCs/>
                                  <w:sz w:val="18"/>
                                  <w:szCs w:val="18"/>
                                </w:rPr>
                                <w:t>US Dollar-DXY</w:t>
                              </w:r>
                            </w:p>
                          </w:tc>
                          <w:tc>
                            <w:tcPr>
                              <w:tcW w:w="0" w:type="auto"/>
                              <w:shd w:val="clear" w:color="auto" w:fill="DFE7E7"/>
                              <w:hideMark/>
                            </w:tcPr>
                            <w:p w14:paraId="47694F5E"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108.44</w:t>
                              </w:r>
                            </w:p>
                          </w:tc>
                          <w:tc>
                            <w:tcPr>
                              <w:tcW w:w="0" w:type="auto"/>
                              <w:shd w:val="clear" w:color="auto" w:fill="DFE7E7"/>
                              <w:hideMark/>
                            </w:tcPr>
                            <w:p w14:paraId="2E1694C1"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99.11</w:t>
                              </w:r>
                            </w:p>
                          </w:tc>
                          <w:tc>
                            <w:tcPr>
                              <w:tcW w:w="0" w:type="auto"/>
                              <w:shd w:val="clear" w:color="auto" w:fill="DFE7E7"/>
                              <w:hideMark/>
                            </w:tcPr>
                            <w:p w14:paraId="33556E28"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99.43</w:t>
                              </w:r>
                            </w:p>
                          </w:tc>
                          <w:tc>
                            <w:tcPr>
                              <w:tcW w:w="0" w:type="auto"/>
                              <w:shd w:val="clear" w:color="auto" w:fill="DFE7E7"/>
                              <w:hideMark/>
                            </w:tcPr>
                            <w:p w14:paraId="6F6FB74A"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0.32%</w:t>
                              </w:r>
                            </w:p>
                          </w:tc>
                          <w:tc>
                            <w:tcPr>
                              <w:tcW w:w="0" w:type="auto"/>
                              <w:shd w:val="clear" w:color="auto" w:fill="DFE7E7"/>
                              <w:hideMark/>
                            </w:tcPr>
                            <w:p w14:paraId="2BD78C04"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-8.31%</w:t>
                              </w:r>
                            </w:p>
                          </w:tc>
                        </w:tr>
                        <w:tr w:rsidR="00861EF8" w:rsidRPr="00861EF8" w14:paraId="3EE1AFDA" w14:textId="77777777">
                          <w:trPr>
                            <w:tblCellSpacing w:w="0" w:type="dxa"/>
                          </w:trPr>
                          <w:tc>
                            <w:tcPr>
                              <w:tcW w:w="0" w:type="auto"/>
                              <w:shd w:val="clear" w:color="auto" w:fill="DFE7E7"/>
                              <w:hideMark/>
                            </w:tcPr>
                            <w:p w14:paraId="7118BCBE" w14:textId="77777777" w:rsidR="00861EF8" w:rsidRPr="00861EF8" w:rsidRDefault="00861EF8" w:rsidP="00861EF8">
                              <w:pPr>
                                <w:spacing w:before="150" w:after="150" w:line="240" w:lineRule="auto"/>
                                <w:rPr>
                                  <w:rFonts w:ascii="Times New Roman" w:eastAsia="Times New Roman" w:hAnsi="Times New Roman" w:cs="Times New Roman"/>
                                  <w:b/>
                                  <w:bCs/>
                                  <w:sz w:val="18"/>
                                  <w:szCs w:val="18"/>
                                </w:rPr>
                              </w:pPr>
                              <w:r w:rsidRPr="00861EF8">
                                <w:rPr>
                                  <w:rFonts w:ascii="Times New Roman" w:eastAsia="Times New Roman" w:hAnsi="Times New Roman" w:cs="Times New Roman"/>
                                  <w:b/>
                                  <w:bCs/>
                                  <w:sz w:val="18"/>
                                  <w:szCs w:val="18"/>
                                </w:rPr>
                                <w:lastRenderedPageBreak/>
                                <w:t>Crude Oil-CL=F</w:t>
                              </w:r>
                            </w:p>
                          </w:tc>
                          <w:tc>
                            <w:tcPr>
                              <w:tcW w:w="0" w:type="auto"/>
                              <w:shd w:val="clear" w:color="auto" w:fill="DFE7E7"/>
                              <w:hideMark/>
                            </w:tcPr>
                            <w:p w14:paraId="5D0DB963"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$71.76</w:t>
                              </w:r>
                            </w:p>
                          </w:tc>
                          <w:tc>
                            <w:tcPr>
                              <w:tcW w:w="0" w:type="auto"/>
                              <w:shd w:val="clear" w:color="auto" w:fill="DFE7E7"/>
                              <w:hideMark/>
                            </w:tcPr>
                            <w:p w14:paraId="728DE83F"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$61.69</w:t>
                              </w:r>
                            </w:p>
                          </w:tc>
                          <w:tc>
                            <w:tcPr>
                              <w:tcW w:w="0" w:type="auto"/>
                              <w:shd w:val="clear" w:color="auto" w:fill="DFE7E7"/>
                              <w:hideMark/>
                            </w:tcPr>
                            <w:p w14:paraId="4913BE8F"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$60.81</w:t>
                              </w:r>
                            </w:p>
                          </w:tc>
                          <w:tc>
                            <w:tcPr>
                              <w:tcW w:w="0" w:type="auto"/>
                              <w:shd w:val="clear" w:color="auto" w:fill="DFE7E7"/>
                              <w:hideMark/>
                            </w:tcPr>
                            <w:p w14:paraId="15824F97"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-1.43%</w:t>
                              </w:r>
                            </w:p>
                          </w:tc>
                          <w:tc>
                            <w:tcPr>
                              <w:tcW w:w="0" w:type="auto"/>
                              <w:shd w:val="clear" w:color="auto" w:fill="DFE7E7"/>
                              <w:hideMark/>
                            </w:tcPr>
                            <w:p w14:paraId="43340CF3"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-15.26%</w:t>
                              </w:r>
                            </w:p>
                          </w:tc>
                        </w:tr>
                        <w:tr w:rsidR="00861EF8" w:rsidRPr="00861EF8" w14:paraId="75E516DE" w14:textId="77777777">
                          <w:trPr>
                            <w:tblCellSpacing w:w="0" w:type="dxa"/>
                          </w:trPr>
                          <w:tc>
                            <w:tcPr>
                              <w:tcW w:w="0" w:type="auto"/>
                              <w:shd w:val="clear" w:color="auto" w:fill="DFE7E7"/>
                              <w:hideMark/>
                            </w:tcPr>
                            <w:p w14:paraId="73241569" w14:textId="77777777" w:rsidR="00861EF8" w:rsidRPr="00861EF8" w:rsidRDefault="00861EF8" w:rsidP="00861EF8">
                              <w:pPr>
                                <w:spacing w:before="150" w:after="150" w:line="240" w:lineRule="auto"/>
                                <w:rPr>
                                  <w:rFonts w:ascii="Times New Roman" w:eastAsia="Times New Roman" w:hAnsi="Times New Roman" w:cs="Times New Roman"/>
                                  <w:b/>
                                  <w:bCs/>
                                  <w:sz w:val="18"/>
                                  <w:szCs w:val="18"/>
                                </w:rPr>
                              </w:pPr>
                              <w:r w:rsidRPr="00861EF8">
                                <w:rPr>
                                  <w:rFonts w:ascii="Times New Roman" w:eastAsia="Times New Roman" w:hAnsi="Times New Roman" w:cs="Times New Roman"/>
                                  <w:b/>
                                  <w:bCs/>
                                  <w:sz w:val="18"/>
                                  <w:szCs w:val="18"/>
                                </w:rPr>
                                <w:t>Gold-GC=F</w:t>
                              </w:r>
                            </w:p>
                          </w:tc>
                          <w:tc>
                            <w:tcPr>
                              <w:tcW w:w="0" w:type="auto"/>
                              <w:shd w:val="clear" w:color="auto" w:fill="DFE7E7"/>
                              <w:hideMark/>
                            </w:tcPr>
                            <w:p w14:paraId="4A564778"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$2,638.50</w:t>
                              </w:r>
                            </w:p>
                          </w:tc>
                          <w:tc>
                            <w:tcPr>
                              <w:tcW w:w="0" w:type="auto"/>
                              <w:shd w:val="clear" w:color="auto" w:fill="DFE7E7"/>
                              <w:hideMark/>
                            </w:tcPr>
                            <w:p w14:paraId="6B0096D7"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$3,359.80</w:t>
                              </w:r>
                            </w:p>
                          </w:tc>
                          <w:tc>
                            <w:tcPr>
                              <w:tcW w:w="0" w:type="auto"/>
                              <w:shd w:val="clear" w:color="auto" w:fill="DFE7E7"/>
                              <w:hideMark/>
                            </w:tcPr>
                            <w:p w14:paraId="10A7A48E"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$3,314.60</w:t>
                              </w:r>
                            </w:p>
                          </w:tc>
                          <w:tc>
                            <w:tcPr>
                              <w:tcW w:w="0" w:type="auto"/>
                              <w:shd w:val="clear" w:color="auto" w:fill="DFE7E7"/>
                              <w:hideMark/>
                            </w:tcPr>
                            <w:p w14:paraId="0A60852D"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-1.35%</w:t>
                              </w:r>
                            </w:p>
                          </w:tc>
                          <w:tc>
                            <w:tcPr>
                              <w:tcW w:w="0" w:type="auto"/>
                              <w:shd w:val="clear" w:color="auto" w:fill="DFE7E7"/>
                              <w:hideMark/>
                            </w:tcPr>
                            <w:p w14:paraId="33E1BB8E" w14:textId="77777777" w:rsidR="00861EF8" w:rsidRPr="00861EF8" w:rsidRDefault="00861EF8" w:rsidP="00861EF8">
                              <w:pPr>
                                <w:spacing w:before="150" w:after="150" w:line="240" w:lineRule="auto"/>
                                <w:rPr>
                                  <w:rFonts w:ascii="Times New Roman" w:eastAsia="Times New Roman" w:hAnsi="Times New Roman" w:cs="Times New Roman"/>
                                  <w:sz w:val="18"/>
                                  <w:szCs w:val="18"/>
                                </w:rPr>
                              </w:pPr>
                              <w:r w:rsidRPr="00861EF8">
                                <w:rPr>
                                  <w:rFonts w:ascii="Times New Roman" w:eastAsia="Times New Roman" w:hAnsi="Times New Roman" w:cs="Times New Roman"/>
                                  <w:sz w:val="18"/>
                                  <w:szCs w:val="18"/>
                                </w:rPr>
                                <w:t>25.62%</w:t>
                              </w:r>
                            </w:p>
                          </w:tc>
                        </w:tr>
                      </w:tbl>
                      <w:p w14:paraId="70AB2C25" w14:textId="77777777" w:rsidR="00861EF8" w:rsidRPr="00861EF8" w:rsidRDefault="00861EF8" w:rsidP="00861EF8">
                        <w:pPr>
                          <w:spacing w:after="105" w:line="240" w:lineRule="auto"/>
                          <w:rPr>
                            <w:rFonts w:ascii="Arial" w:eastAsia="Times New Roman" w:hAnsi="Arial" w:cs="Arial"/>
                            <w:color w:val="000000"/>
                            <w:sz w:val="24"/>
                            <w:szCs w:val="24"/>
                          </w:rPr>
                        </w:pPr>
                        <w:proofErr w:type="gramStart"/>
                        <w:r w:rsidRPr="00861EF8">
                          <w:rPr>
                            <w:rFonts w:ascii="Arial" w:eastAsia="Times New Roman" w:hAnsi="Arial" w:cs="Arial"/>
                            <w:color w:val="000000"/>
                            <w:sz w:val="24"/>
                            <w:szCs w:val="24"/>
                          </w:rPr>
                          <w:t>Chart</w:t>
                        </w:r>
                        <w:proofErr w:type="gramEnd"/>
                        <w:r w:rsidRPr="00861EF8">
                          <w:rPr>
                            <w:rFonts w:ascii="Arial" w:eastAsia="Times New Roman" w:hAnsi="Arial" w:cs="Arial"/>
                            <w:color w:val="000000"/>
                            <w:sz w:val="24"/>
                            <w:szCs w:val="24"/>
                          </w:rPr>
                          <w:t xml:space="preserve"> reflects price changes, not total return. Because it does not include dividends or splits, it should not be used to benchmark performance of specific investments.</w:t>
                        </w:r>
                      </w:p>
                      <w:p w14:paraId="71C97E0D" w14:textId="77777777" w:rsidR="00861EF8" w:rsidRPr="00861EF8" w:rsidRDefault="00861EF8" w:rsidP="00861EF8">
                        <w:pPr>
                          <w:spacing w:after="75" w:line="240" w:lineRule="auto"/>
                          <w:outlineLvl w:val="2"/>
                          <w:rPr>
                            <w:rFonts w:ascii="Arial" w:eastAsia="Times New Roman" w:hAnsi="Arial" w:cs="Arial"/>
                            <w:b/>
                            <w:bCs/>
                            <w:color w:val="336666"/>
                            <w:sz w:val="24"/>
                            <w:szCs w:val="24"/>
                          </w:rPr>
                        </w:pPr>
                        <w:r w:rsidRPr="00861EF8">
                          <w:rPr>
                            <w:rFonts w:ascii="Arial" w:eastAsia="Times New Roman" w:hAnsi="Arial" w:cs="Arial"/>
                            <w:b/>
                            <w:bCs/>
                            <w:color w:val="336666"/>
                            <w:sz w:val="24"/>
                            <w:szCs w:val="24"/>
                          </w:rPr>
                          <w:t>Last Week's Economic News</w:t>
                        </w:r>
                      </w:p>
                      <w:p w14:paraId="59F5A73E" w14:textId="77777777" w:rsidR="00861EF8" w:rsidRPr="00861EF8" w:rsidRDefault="00861EF8" w:rsidP="00861EF8">
                        <w:pPr>
                          <w:numPr>
                            <w:ilvl w:val="0"/>
                            <w:numId w:val="10"/>
                          </w:numPr>
                          <w:spacing w:before="100" w:beforeAutospacing="1" w:after="100" w:afterAutospacing="1" w:line="240" w:lineRule="auto"/>
                          <w:rPr>
                            <w:rFonts w:ascii="Arial" w:eastAsia="Times New Roman" w:hAnsi="Arial" w:cs="Arial"/>
                            <w:color w:val="000000"/>
                            <w:sz w:val="24"/>
                            <w:szCs w:val="24"/>
                          </w:rPr>
                        </w:pPr>
                        <w:r w:rsidRPr="00861EF8">
                          <w:rPr>
                            <w:rFonts w:ascii="Arial" w:eastAsia="Times New Roman" w:hAnsi="Arial" w:cs="Arial"/>
                            <w:color w:val="000000"/>
                            <w:sz w:val="24"/>
                            <w:szCs w:val="24"/>
                          </w:rPr>
                          <w:t xml:space="preserve">Gross domestic product (GDP) decreased at an annual rate of 0.2% in the first quarter of 2025, according to the second estimate released by the U.S. Bureau of Economic Analysis. In the fourth quarter of 2024, GDP increased 2.4%. Compared to the fourth quarter, the downturn in GDP in the first quarter primarily reflected an increase in imports, which are a subtraction in the calculation of GDP, a deceleration in consumer spending, and a downturn in government spending that were partly offset by increases in investment and exports. Personal consumption </w:t>
                        </w:r>
                        <w:proofErr w:type="gramStart"/>
                        <w:r w:rsidRPr="00861EF8">
                          <w:rPr>
                            <w:rFonts w:ascii="Arial" w:eastAsia="Times New Roman" w:hAnsi="Arial" w:cs="Arial"/>
                            <w:color w:val="000000"/>
                            <w:sz w:val="24"/>
                            <w:szCs w:val="24"/>
                          </w:rPr>
                          <w:t>expenditures</w:t>
                        </w:r>
                        <w:proofErr w:type="gramEnd"/>
                        <w:r w:rsidRPr="00861EF8">
                          <w:rPr>
                            <w:rFonts w:ascii="Arial" w:eastAsia="Times New Roman" w:hAnsi="Arial" w:cs="Arial"/>
                            <w:color w:val="000000"/>
                            <w:sz w:val="24"/>
                            <w:szCs w:val="24"/>
                          </w:rPr>
                          <w:t xml:space="preserve"> (PCE), a major component in the calculation of GDP, rose 1.2% in the first quarter, compared to an increase of 4.0% in the fourth quarter. In the first quarter, consumer spending on goods ticked up 0.1% (6.2% in the fourth quarter), while spending on services rose 1.7% (3.0% in the fourth quarter).</w:t>
                        </w:r>
                      </w:p>
                      <w:p w14:paraId="401DCC5E" w14:textId="77777777" w:rsidR="00861EF8" w:rsidRPr="00861EF8" w:rsidRDefault="00861EF8" w:rsidP="00861EF8">
                        <w:pPr>
                          <w:numPr>
                            <w:ilvl w:val="0"/>
                            <w:numId w:val="11"/>
                          </w:numPr>
                          <w:spacing w:before="100" w:beforeAutospacing="1" w:after="100" w:afterAutospacing="1" w:line="240" w:lineRule="auto"/>
                          <w:rPr>
                            <w:rFonts w:ascii="Arial" w:eastAsia="Times New Roman" w:hAnsi="Arial" w:cs="Arial"/>
                            <w:color w:val="000000"/>
                            <w:sz w:val="24"/>
                            <w:szCs w:val="24"/>
                          </w:rPr>
                        </w:pPr>
                        <w:r w:rsidRPr="00861EF8">
                          <w:rPr>
                            <w:rFonts w:ascii="Arial" w:eastAsia="Times New Roman" w:hAnsi="Arial" w:cs="Arial"/>
                            <w:color w:val="000000"/>
                            <w:sz w:val="24"/>
                            <w:szCs w:val="24"/>
                          </w:rPr>
                          <w:t>According to the latest report from the Bureau of Economic Analysis, both personal income and disposable (after-tax) personal income increased 0.8% in April. Personal consumption expenditures, a measure of consumer spending, increased 0.2%. From the preceding month, the PCE price index for April increased 0.1%. Excluding food and energy, the PCE price index also increased 0.1%. From April 2024, the PCE price index increased 2.1%, while the PCE price index excluding food and energy increased 2.5%.</w:t>
                        </w:r>
                      </w:p>
                      <w:p w14:paraId="5235F9A1" w14:textId="77777777" w:rsidR="00861EF8" w:rsidRPr="00861EF8" w:rsidRDefault="00861EF8" w:rsidP="00861EF8">
                        <w:pPr>
                          <w:numPr>
                            <w:ilvl w:val="0"/>
                            <w:numId w:val="12"/>
                          </w:numPr>
                          <w:spacing w:before="100" w:beforeAutospacing="1" w:after="100" w:afterAutospacing="1" w:line="240" w:lineRule="auto"/>
                          <w:rPr>
                            <w:rFonts w:ascii="Arial" w:eastAsia="Times New Roman" w:hAnsi="Arial" w:cs="Arial"/>
                            <w:color w:val="000000"/>
                            <w:sz w:val="24"/>
                            <w:szCs w:val="24"/>
                          </w:rPr>
                        </w:pPr>
                        <w:r w:rsidRPr="00861EF8">
                          <w:rPr>
                            <w:rFonts w:ascii="Arial" w:eastAsia="Times New Roman" w:hAnsi="Arial" w:cs="Arial"/>
                            <w:color w:val="000000"/>
                            <w:sz w:val="24"/>
                            <w:szCs w:val="24"/>
                          </w:rPr>
                          <w:t>New orders for durable goods, which had increased for four straight months, fell 6.3% in April. Transportation equipment, which declined 17.1%, drove the overall decrease in durable goods orders. Within transportation equipment, commercial aircraft bookings fell 51.5%. Business equipment orders fell 1.3% in April, the largest drop since October 2024. Durable goods orders rose 4.2% since April 2024.</w:t>
                        </w:r>
                      </w:p>
                      <w:p w14:paraId="7BB67A43" w14:textId="77777777" w:rsidR="00861EF8" w:rsidRPr="00861EF8" w:rsidRDefault="00861EF8" w:rsidP="00861EF8">
                        <w:pPr>
                          <w:numPr>
                            <w:ilvl w:val="0"/>
                            <w:numId w:val="13"/>
                          </w:numPr>
                          <w:spacing w:before="100" w:beforeAutospacing="1" w:after="100" w:afterAutospacing="1" w:line="240" w:lineRule="auto"/>
                          <w:rPr>
                            <w:rFonts w:ascii="Arial" w:eastAsia="Times New Roman" w:hAnsi="Arial" w:cs="Arial"/>
                            <w:color w:val="000000"/>
                            <w:sz w:val="24"/>
                            <w:szCs w:val="24"/>
                          </w:rPr>
                        </w:pPr>
                        <w:r w:rsidRPr="00861EF8">
                          <w:rPr>
                            <w:rFonts w:ascii="Arial" w:eastAsia="Times New Roman" w:hAnsi="Arial" w:cs="Arial"/>
                            <w:color w:val="000000"/>
                            <w:sz w:val="24"/>
                            <w:szCs w:val="24"/>
                          </w:rPr>
                          <w:t xml:space="preserve">The international trade in goods deficit was $87.6 billion in April, down $74.6 billion, or 46.0%, from the March estimate. Exports of goods for April were $6.3 billion, or </w:t>
                        </w:r>
                        <w:r w:rsidRPr="00861EF8">
                          <w:rPr>
                            <w:rFonts w:ascii="Arial" w:eastAsia="Times New Roman" w:hAnsi="Arial" w:cs="Arial"/>
                            <w:color w:val="000000"/>
                            <w:sz w:val="24"/>
                            <w:szCs w:val="24"/>
                          </w:rPr>
                          <w:lastRenderedPageBreak/>
                          <w:t>3.4%, more than March exports. Imports of goods for April were $68.4 billion, or 19.8%, less than March imports.</w:t>
                        </w:r>
                      </w:p>
                      <w:p w14:paraId="227D684F" w14:textId="77777777" w:rsidR="00861EF8" w:rsidRPr="00861EF8" w:rsidRDefault="00861EF8" w:rsidP="00861EF8">
                        <w:pPr>
                          <w:numPr>
                            <w:ilvl w:val="0"/>
                            <w:numId w:val="14"/>
                          </w:numPr>
                          <w:spacing w:before="100" w:beforeAutospacing="1" w:after="100" w:afterAutospacing="1" w:line="240" w:lineRule="auto"/>
                          <w:rPr>
                            <w:rFonts w:ascii="Arial" w:eastAsia="Times New Roman" w:hAnsi="Arial" w:cs="Arial"/>
                            <w:color w:val="000000"/>
                            <w:sz w:val="24"/>
                            <w:szCs w:val="24"/>
                          </w:rPr>
                        </w:pPr>
                        <w:r w:rsidRPr="00861EF8">
                          <w:rPr>
                            <w:rFonts w:ascii="Arial" w:eastAsia="Times New Roman" w:hAnsi="Arial" w:cs="Arial"/>
                            <w:color w:val="000000"/>
                            <w:sz w:val="24"/>
                            <w:szCs w:val="24"/>
                          </w:rPr>
                          <w:t>The national average retail price for regular gasoline was $3.160 per gallon on May 26, $0.013 per gallon below the prior week's price and $0.417 per gallon less than a year ago. Also, as of May 26, the East Coast price increased $0.005 to $2.995 per gallon; the Midwest price fell $0.009 to $3.018 per gallon; the Gulf Coast price decreased $0.060 to $2.726 per gallon; the Rocky Mountain price dipped $0.013 to $3.118 per gallon; and the West Coast price declined $0.029 to $4.258 per gallon.</w:t>
                        </w:r>
                      </w:p>
                      <w:p w14:paraId="40175DDD" w14:textId="77777777" w:rsidR="00861EF8" w:rsidRPr="00861EF8" w:rsidRDefault="00861EF8" w:rsidP="00861EF8">
                        <w:pPr>
                          <w:numPr>
                            <w:ilvl w:val="0"/>
                            <w:numId w:val="15"/>
                          </w:numPr>
                          <w:spacing w:before="100" w:beforeAutospacing="1" w:after="100" w:afterAutospacing="1" w:line="240" w:lineRule="auto"/>
                          <w:rPr>
                            <w:rFonts w:ascii="Arial" w:eastAsia="Times New Roman" w:hAnsi="Arial" w:cs="Arial"/>
                            <w:color w:val="000000"/>
                            <w:sz w:val="24"/>
                            <w:szCs w:val="24"/>
                          </w:rPr>
                        </w:pPr>
                        <w:r w:rsidRPr="00861EF8">
                          <w:rPr>
                            <w:rFonts w:ascii="Arial" w:eastAsia="Times New Roman" w:hAnsi="Arial" w:cs="Arial"/>
                            <w:color w:val="000000"/>
                            <w:sz w:val="24"/>
                            <w:szCs w:val="24"/>
                          </w:rPr>
                          <w:t xml:space="preserve">For the week </w:t>
                        </w:r>
                        <w:proofErr w:type="gramStart"/>
                        <w:r w:rsidRPr="00861EF8">
                          <w:rPr>
                            <w:rFonts w:ascii="Arial" w:eastAsia="Times New Roman" w:hAnsi="Arial" w:cs="Arial"/>
                            <w:color w:val="000000"/>
                            <w:sz w:val="24"/>
                            <w:szCs w:val="24"/>
                          </w:rPr>
                          <w:t>ended</w:t>
                        </w:r>
                        <w:proofErr w:type="gramEnd"/>
                        <w:r w:rsidRPr="00861EF8">
                          <w:rPr>
                            <w:rFonts w:ascii="Arial" w:eastAsia="Times New Roman" w:hAnsi="Arial" w:cs="Arial"/>
                            <w:color w:val="000000"/>
                            <w:sz w:val="24"/>
                            <w:szCs w:val="24"/>
                          </w:rPr>
                          <w:t xml:space="preserve"> May 24, there were 240,000 new claims for unemployment insurance, an increase of 14,000 from the previous week's level, which was revised down by 1,000. According to the Department of Labor, the advance rate for insured unemployment claims for the week ended May 17 was 1.3%, an increase of 0.1 percentage point from the previous week's rate. The </w:t>
                        </w:r>
                        <w:proofErr w:type="gramStart"/>
                        <w:r w:rsidRPr="00861EF8">
                          <w:rPr>
                            <w:rFonts w:ascii="Arial" w:eastAsia="Times New Roman" w:hAnsi="Arial" w:cs="Arial"/>
                            <w:color w:val="000000"/>
                            <w:sz w:val="24"/>
                            <w:szCs w:val="24"/>
                          </w:rPr>
                          <w:t>advance</w:t>
                        </w:r>
                        <w:proofErr w:type="gramEnd"/>
                        <w:r w:rsidRPr="00861EF8">
                          <w:rPr>
                            <w:rFonts w:ascii="Arial" w:eastAsia="Times New Roman" w:hAnsi="Arial" w:cs="Arial"/>
                            <w:color w:val="000000"/>
                            <w:sz w:val="24"/>
                            <w:szCs w:val="24"/>
                          </w:rPr>
                          <w:t xml:space="preserve"> number of those receiving unemployment insurance benefits during the week ended May 17 was 1,919,000, an increase of 26,000 from the previous week's level, which was revised down by 10,000. This is the highest level for insured unemployment since November 13, 2021, when it was 1,970,000. States and territories with the highest insured unemployment rates for the week ended May 10 were New Jersey (2.2%), California (2.1%), Washington (2.1%), Rhode Island (1.9%), District of Columbia (1.8%), Massachusetts (1.8%), Illinois (1.6%), Nevada (1.6%), New York (1.6%), Oregon (1.6%), and Puerto Rico (1.6%). The largest increases in initial claims for unemployment insurance for the week ended May 17 were in Illinois (+1,162), Missouri (+447), Louisiana (+383), Connecticut (+246), and New York (+234), while the largest decreases were in Virginia (-1,277), Michigan (-1,192), California (-686), Florida (-547), and Massachusetts (-399).</w:t>
                        </w:r>
                      </w:p>
                      <w:p w14:paraId="5B78C5D8" w14:textId="77777777" w:rsidR="00861EF8" w:rsidRPr="00861EF8" w:rsidRDefault="00861EF8" w:rsidP="00861EF8">
                        <w:pPr>
                          <w:spacing w:after="75" w:line="240" w:lineRule="auto"/>
                          <w:outlineLvl w:val="2"/>
                          <w:rPr>
                            <w:rFonts w:ascii="Arial" w:eastAsia="Times New Roman" w:hAnsi="Arial" w:cs="Arial"/>
                            <w:b/>
                            <w:bCs/>
                            <w:color w:val="336666"/>
                            <w:sz w:val="24"/>
                            <w:szCs w:val="24"/>
                          </w:rPr>
                        </w:pPr>
                        <w:r w:rsidRPr="00861EF8">
                          <w:rPr>
                            <w:rFonts w:ascii="Arial" w:eastAsia="Times New Roman" w:hAnsi="Arial" w:cs="Arial"/>
                            <w:b/>
                            <w:bCs/>
                            <w:color w:val="336666"/>
                            <w:sz w:val="24"/>
                            <w:szCs w:val="24"/>
                          </w:rPr>
                          <w:t>Eye on the Week Ahead</w:t>
                        </w:r>
                      </w:p>
                      <w:p w14:paraId="434AD226" w14:textId="77777777" w:rsidR="00861EF8" w:rsidRPr="00861EF8" w:rsidRDefault="00861EF8" w:rsidP="00861EF8">
                        <w:pPr>
                          <w:spacing w:after="105" w:line="240" w:lineRule="auto"/>
                          <w:rPr>
                            <w:rFonts w:ascii="Arial" w:eastAsia="Times New Roman" w:hAnsi="Arial" w:cs="Arial"/>
                            <w:color w:val="000000"/>
                            <w:sz w:val="24"/>
                            <w:szCs w:val="24"/>
                          </w:rPr>
                        </w:pPr>
                        <w:r w:rsidRPr="00861EF8">
                          <w:rPr>
                            <w:rFonts w:ascii="Arial" w:eastAsia="Times New Roman" w:hAnsi="Arial" w:cs="Arial"/>
                            <w:color w:val="000000"/>
                            <w:sz w:val="24"/>
                            <w:szCs w:val="24"/>
                          </w:rPr>
                          <w:t>The jobs report for May is out this week. April saw employment increase by 177,000, while average hourly earnings rose 0.2% for the month.</w:t>
                        </w:r>
                      </w:p>
                      <w:p w14:paraId="286CDE1D" w14:textId="77777777" w:rsidR="00861EF8" w:rsidRPr="00861EF8" w:rsidRDefault="00861EF8" w:rsidP="00861EF8">
                        <w:pPr>
                          <w:spacing w:after="105" w:line="240" w:lineRule="auto"/>
                          <w:rPr>
                            <w:rFonts w:ascii="Arial" w:eastAsia="Times New Roman" w:hAnsi="Arial" w:cs="Arial"/>
                            <w:color w:val="000000"/>
                            <w:sz w:val="24"/>
                            <w:szCs w:val="24"/>
                          </w:rPr>
                        </w:pPr>
                        <w:r w:rsidRPr="00861EF8">
                          <w:rPr>
                            <w:rFonts w:ascii="Arial" w:eastAsia="Times New Roman" w:hAnsi="Arial" w:cs="Arial"/>
                            <w:i/>
                            <w:iCs/>
                            <w:color w:val="000000"/>
                            <w:sz w:val="24"/>
                            <w:szCs w:val="24"/>
                          </w:rPr>
                          <w:t xml:space="preserve">Data sources: Economic: Based on data from U.S. Bureau of Labor Statistics (unemployment, inflation); U.S. Department of Commerce (GDP, corporate profits, retail sales, housing); S&amp;P/Case-Shiller 20-City Composite Index (home prices); Institute for Supply Management (manufacturing/services). Performance: Based on data reported in WSJ Market Data Center (indexes); U.S. Treasury (Treasury yields); U.S. Energy Information Administration/Bloomberg.com Market Data (oil spot price, WTI, Cushing, OK); www.goldprice.org (spot gold/silver); </w:t>
                        </w:r>
                        <w:proofErr w:type="spellStart"/>
                        <w:r w:rsidRPr="00861EF8">
                          <w:rPr>
                            <w:rFonts w:ascii="Arial" w:eastAsia="Times New Roman" w:hAnsi="Arial" w:cs="Arial"/>
                            <w:i/>
                            <w:iCs/>
                            <w:color w:val="000000"/>
                            <w:sz w:val="24"/>
                            <w:szCs w:val="24"/>
                          </w:rPr>
                          <w:t>Oanda</w:t>
                        </w:r>
                        <w:proofErr w:type="spellEnd"/>
                        <w:r w:rsidRPr="00861EF8">
                          <w:rPr>
                            <w:rFonts w:ascii="Arial" w:eastAsia="Times New Roman" w:hAnsi="Arial" w:cs="Arial"/>
                            <w:i/>
                            <w:iCs/>
                            <w:color w:val="000000"/>
                            <w:sz w:val="24"/>
                            <w:szCs w:val="24"/>
                          </w:rPr>
                          <w:t>/FX Street (currency exchange rates).</w:t>
                        </w:r>
                      </w:p>
                      <w:p w14:paraId="7391BDFF" w14:textId="77777777" w:rsidR="00861EF8" w:rsidRPr="00861EF8" w:rsidRDefault="00861EF8" w:rsidP="00861EF8">
                        <w:pPr>
                          <w:spacing w:after="105" w:line="240" w:lineRule="auto"/>
                          <w:rPr>
                            <w:rFonts w:ascii="Arial" w:eastAsia="Times New Roman" w:hAnsi="Arial" w:cs="Arial"/>
                            <w:color w:val="000000"/>
                            <w:sz w:val="24"/>
                            <w:szCs w:val="24"/>
                          </w:rPr>
                        </w:pPr>
                        <w:r w:rsidRPr="00861EF8">
                          <w:rPr>
                            <w:rFonts w:ascii="Arial" w:eastAsia="Times New Roman" w:hAnsi="Arial" w:cs="Arial"/>
                            <w:i/>
                            <w:iCs/>
                            <w:color w:val="000000"/>
                            <w:sz w:val="24"/>
                            <w:szCs w:val="24"/>
                          </w:rPr>
                          <w:lastRenderedPageBreak/>
                          <w:t xml:space="preserve">News items are based on reports from multiple commonly available international news sources (i.e., wire services) and are independently verified when </w:t>
                        </w:r>
                        <w:proofErr w:type="gramStart"/>
                        <w:r w:rsidRPr="00861EF8">
                          <w:rPr>
                            <w:rFonts w:ascii="Arial" w:eastAsia="Times New Roman" w:hAnsi="Arial" w:cs="Arial"/>
                            <w:i/>
                            <w:iCs/>
                            <w:color w:val="000000"/>
                            <w:sz w:val="24"/>
                            <w:szCs w:val="24"/>
                          </w:rPr>
                          <w:t>necessary</w:t>
                        </w:r>
                        <w:proofErr w:type="gramEnd"/>
                        <w:r w:rsidRPr="00861EF8">
                          <w:rPr>
                            <w:rFonts w:ascii="Arial" w:eastAsia="Times New Roman" w:hAnsi="Arial" w:cs="Arial"/>
                            <w:i/>
                            <w:iCs/>
                            <w:color w:val="000000"/>
                            <w:sz w:val="24"/>
                            <w:szCs w:val="24"/>
                          </w:rPr>
                          <w:t xml:space="preserve"> with secondary sources such as government agencies, corporate press releases, or trade organizations. All information is based on sources deemed reliable, but no warranty or guarantee is made as to its accuracy or completeness. Neither the information nor </w:t>
                        </w:r>
                        <w:proofErr w:type="gramStart"/>
                        <w:r w:rsidRPr="00861EF8">
                          <w:rPr>
                            <w:rFonts w:ascii="Arial" w:eastAsia="Times New Roman" w:hAnsi="Arial" w:cs="Arial"/>
                            <w:i/>
                            <w:iCs/>
                            <w:color w:val="000000"/>
                            <w:sz w:val="24"/>
                            <w:szCs w:val="24"/>
                          </w:rPr>
                          <w:t>any opinion</w:t>
                        </w:r>
                        <w:proofErr w:type="gramEnd"/>
                        <w:r w:rsidRPr="00861EF8">
                          <w:rPr>
                            <w:rFonts w:ascii="Arial" w:eastAsia="Times New Roman" w:hAnsi="Arial" w:cs="Arial"/>
                            <w:i/>
                            <w:iCs/>
                            <w:color w:val="000000"/>
                            <w:sz w:val="24"/>
                            <w:szCs w:val="24"/>
                          </w:rPr>
                          <w:t xml:space="preserve"> expressed herein constitutes a solicitation for the purchase or sale of any </w:t>
                        </w:r>
                        <w:proofErr w:type="gramStart"/>
                        <w:r w:rsidRPr="00861EF8">
                          <w:rPr>
                            <w:rFonts w:ascii="Arial" w:eastAsia="Times New Roman" w:hAnsi="Arial" w:cs="Arial"/>
                            <w:i/>
                            <w:iCs/>
                            <w:color w:val="000000"/>
                            <w:sz w:val="24"/>
                            <w:szCs w:val="24"/>
                          </w:rPr>
                          <w:t>securities, and</w:t>
                        </w:r>
                        <w:proofErr w:type="gramEnd"/>
                        <w:r w:rsidRPr="00861EF8">
                          <w:rPr>
                            <w:rFonts w:ascii="Arial" w:eastAsia="Times New Roman" w:hAnsi="Arial" w:cs="Arial"/>
                            <w:i/>
                            <w:iCs/>
                            <w:color w:val="000000"/>
                            <w:sz w:val="24"/>
                            <w:szCs w:val="24"/>
                          </w:rPr>
                          <w:t xml:space="preserve"> should not be relied on as financial advice. Forecasts are based on current conditions, subject to change, and may not come to pass. U.S. Treasury securities are guaranteed by the federal government as to the timely payment of principal and interest. The principal value of Treasury securities and other bonds fluctuates with market conditions. Bonds are subject to inflation, interest-rate, and credit risks. As interest rates rise, bond prices typically fall. A bond sold or redeemed prior to maturity may be subject to loss. Past performance </w:t>
                        </w:r>
                        <w:proofErr w:type="gramStart"/>
                        <w:r w:rsidRPr="00861EF8">
                          <w:rPr>
                            <w:rFonts w:ascii="Arial" w:eastAsia="Times New Roman" w:hAnsi="Arial" w:cs="Arial"/>
                            <w:i/>
                            <w:iCs/>
                            <w:color w:val="000000"/>
                            <w:sz w:val="24"/>
                            <w:szCs w:val="24"/>
                          </w:rPr>
                          <w:t>is</w:t>
                        </w:r>
                        <w:proofErr w:type="gramEnd"/>
                        <w:r w:rsidRPr="00861EF8">
                          <w:rPr>
                            <w:rFonts w:ascii="Arial" w:eastAsia="Times New Roman" w:hAnsi="Arial" w:cs="Arial"/>
                            <w:i/>
                            <w:iCs/>
                            <w:color w:val="000000"/>
                            <w:sz w:val="24"/>
                            <w:szCs w:val="24"/>
                          </w:rPr>
                          <w:t xml:space="preserve"> no guarantee of future results. All investing involves risk, including the potential loss of principal, and there can be no guarantee that any investing strategy will be successful.</w:t>
                        </w:r>
                      </w:p>
                      <w:p w14:paraId="3932DA12" w14:textId="77777777" w:rsidR="00861EF8" w:rsidRPr="00861EF8" w:rsidRDefault="00861EF8" w:rsidP="00861EF8">
                        <w:pPr>
                          <w:spacing w:after="105" w:line="240" w:lineRule="auto"/>
                          <w:rPr>
                            <w:rFonts w:ascii="Arial" w:eastAsia="Times New Roman" w:hAnsi="Arial" w:cs="Arial"/>
                            <w:color w:val="000000"/>
                            <w:sz w:val="24"/>
                            <w:szCs w:val="24"/>
                          </w:rPr>
                        </w:pPr>
                        <w:r w:rsidRPr="00861EF8">
                          <w:rPr>
                            <w:rFonts w:ascii="Arial" w:eastAsia="Times New Roman" w:hAnsi="Arial" w:cs="Arial"/>
                            <w:i/>
                            <w:iCs/>
                            <w:color w:val="000000"/>
                            <w:sz w:val="24"/>
                            <w:szCs w:val="24"/>
                          </w:rPr>
                          <w:t xml:space="preserve">The Dow Jones Industrial Average (DJIA) is a price-weighted index composed of 30 widely traded blue-chip U.S. common stocks. The S&amp;P 500 is a market-cap weighted index composed of the common stocks of 500 largest, publicly traded companies in leading industries of the U.S. economy. The NASDAQ Composite Index is a market-value weighted index of all common stocks listed on the Nasdaq stock exchange. The Russell 2000 is a market-cap weighted index composed of 2,000 U.S. small-cap common stocks. The Global Dow is an equally weighted index of 150 widely traded blue-chip common stocks worldwide. The U.S. Dollar Index is a geometrically weighted index of the value of the U.S. dollar relative to six foreign currencies. </w:t>
                        </w:r>
                        <w:proofErr w:type="gramStart"/>
                        <w:r w:rsidRPr="00861EF8">
                          <w:rPr>
                            <w:rFonts w:ascii="Arial" w:eastAsia="Times New Roman" w:hAnsi="Arial" w:cs="Arial"/>
                            <w:i/>
                            <w:iCs/>
                            <w:color w:val="000000"/>
                            <w:sz w:val="24"/>
                            <w:szCs w:val="24"/>
                          </w:rPr>
                          <w:t>Market</w:t>
                        </w:r>
                        <w:proofErr w:type="gramEnd"/>
                        <w:r w:rsidRPr="00861EF8">
                          <w:rPr>
                            <w:rFonts w:ascii="Arial" w:eastAsia="Times New Roman" w:hAnsi="Arial" w:cs="Arial"/>
                            <w:i/>
                            <w:iCs/>
                            <w:color w:val="000000"/>
                            <w:sz w:val="24"/>
                            <w:szCs w:val="24"/>
                          </w:rPr>
                          <w:t xml:space="preserve"> indexes listed are unmanaged and are not available for direct investment.</w:t>
                        </w:r>
                      </w:p>
                    </w:tc>
                  </w:tr>
                </w:tbl>
                <w:p w14:paraId="5748EDD7" w14:textId="77777777" w:rsidR="00861EF8" w:rsidRPr="00861EF8" w:rsidRDefault="00861EF8" w:rsidP="00861EF8">
                  <w:pPr>
                    <w:spacing w:after="0" w:line="240" w:lineRule="auto"/>
                    <w:rPr>
                      <w:rFonts w:ascii="Times New Roman" w:eastAsia="Times New Roman" w:hAnsi="Times New Roman" w:cs="Times New Roman"/>
                      <w:sz w:val="24"/>
                      <w:szCs w:val="24"/>
                    </w:rPr>
                  </w:pPr>
                </w:p>
              </w:tc>
            </w:tr>
          </w:tbl>
          <w:p w14:paraId="618A26F5" w14:textId="77777777" w:rsidR="00861EF8" w:rsidRPr="00861EF8" w:rsidRDefault="00861EF8" w:rsidP="00861EF8">
            <w:pPr>
              <w:spacing w:after="0" w:line="240" w:lineRule="auto"/>
              <w:rPr>
                <w:rFonts w:ascii="Arial" w:eastAsia="Times New Roman" w:hAnsi="Arial" w:cs="Arial"/>
                <w:color w:val="000000"/>
                <w:sz w:val="20"/>
                <w:szCs w:val="20"/>
              </w:rPr>
            </w:pPr>
          </w:p>
        </w:tc>
      </w:tr>
      <w:tr w:rsidR="00861EF8" w:rsidRPr="00861EF8" w14:paraId="49075C58" w14:textId="77777777" w:rsidTr="00861EF8">
        <w:trPr>
          <w:tblCellSpacing w:w="0" w:type="dxa"/>
        </w:trPr>
        <w:tc>
          <w:tcPr>
            <w:tcW w:w="0" w:type="auto"/>
            <w:shd w:val="clear" w:color="auto" w:fill="FFFFFF"/>
            <w:tcMar>
              <w:top w:w="0" w:type="dxa"/>
              <w:left w:w="450" w:type="dxa"/>
              <w:bottom w:w="0" w:type="dxa"/>
              <w:right w:w="3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5025"/>
              <w:gridCol w:w="5025"/>
            </w:tblGrid>
            <w:tr w:rsidR="00861EF8" w:rsidRPr="00861EF8" w14:paraId="01A0B3DF" w14:textId="77777777">
              <w:trPr>
                <w:tblCellSpacing w:w="0" w:type="dxa"/>
              </w:trPr>
              <w:tc>
                <w:tcPr>
                  <w:tcW w:w="2500" w:type="pct"/>
                  <w:tcMar>
                    <w:top w:w="150" w:type="dxa"/>
                    <w:left w:w="0" w:type="dxa"/>
                    <w:bottom w:w="75" w:type="dxa"/>
                    <w:right w:w="0" w:type="dxa"/>
                  </w:tcMar>
                  <w:vAlign w:val="center"/>
                  <w:hideMark/>
                </w:tcPr>
                <w:p w14:paraId="4883EE91" w14:textId="0B0E9087" w:rsidR="00861EF8" w:rsidRPr="00861EF8" w:rsidRDefault="00861EF8" w:rsidP="00861EF8">
                  <w:pPr>
                    <w:spacing w:after="0" w:line="240" w:lineRule="auto"/>
                    <w:rPr>
                      <w:rFonts w:ascii="Times New Roman" w:eastAsia="Times New Roman" w:hAnsi="Times New Roman" w:cs="Times New Roman"/>
                      <w:sz w:val="24"/>
                      <w:szCs w:val="24"/>
                    </w:rPr>
                  </w:pPr>
                </w:p>
              </w:tc>
              <w:tc>
                <w:tcPr>
                  <w:tcW w:w="2500" w:type="pct"/>
                  <w:tcMar>
                    <w:top w:w="150" w:type="dxa"/>
                    <w:left w:w="0" w:type="dxa"/>
                    <w:bottom w:w="75" w:type="dxa"/>
                    <w:right w:w="0" w:type="dxa"/>
                  </w:tcMar>
                  <w:vAlign w:val="center"/>
                  <w:hideMark/>
                </w:tcPr>
                <w:p w14:paraId="08640F04" w14:textId="311B9ACE" w:rsidR="00861EF8" w:rsidRPr="00861EF8" w:rsidRDefault="00861EF8" w:rsidP="00861EF8">
                  <w:pPr>
                    <w:spacing w:after="0" w:line="240" w:lineRule="auto"/>
                    <w:jc w:val="right"/>
                    <w:rPr>
                      <w:rFonts w:ascii="Times New Roman" w:eastAsia="Times New Roman" w:hAnsi="Times New Roman" w:cs="Times New Roman"/>
                      <w:sz w:val="24"/>
                      <w:szCs w:val="24"/>
                    </w:rPr>
                  </w:pPr>
                </w:p>
              </w:tc>
            </w:tr>
          </w:tbl>
          <w:p w14:paraId="0D2113F5" w14:textId="77777777" w:rsidR="00861EF8" w:rsidRPr="00861EF8" w:rsidRDefault="00861EF8" w:rsidP="00861EF8">
            <w:pPr>
              <w:spacing w:after="0" w:line="240" w:lineRule="auto"/>
              <w:rPr>
                <w:rFonts w:ascii="Arial" w:eastAsia="Times New Roman" w:hAnsi="Arial" w:cs="Arial"/>
                <w:color w:val="000000"/>
                <w:sz w:val="20"/>
                <w:szCs w:val="20"/>
              </w:rPr>
            </w:pPr>
          </w:p>
        </w:tc>
      </w:tr>
      <w:tr w:rsidR="00861EF8" w:rsidRPr="00861EF8" w14:paraId="3A4A55D0" w14:textId="77777777" w:rsidTr="00861EF8">
        <w:trPr>
          <w:tblCellSpacing w:w="0" w:type="dxa"/>
        </w:trPr>
        <w:tc>
          <w:tcPr>
            <w:tcW w:w="0" w:type="auto"/>
            <w:shd w:val="clear" w:color="auto" w:fill="FFFFFF"/>
            <w:tcMar>
              <w:top w:w="0" w:type="dxa"/>
              <w:left w:w="450" w:type="dxa"/>
              <w:bottom w:w="450" w:type="dxa"/>
              <w:right w:w="300" w:type="dxa"/>
            </w:tcMar>
            <w:vAlign w:val="center"/>
            <w:hideMark/>
          </w:tcPr>
          <w:tbl>
            <w:tblPr>
              <w:tblW w:w="5000" w:type="pct"/>
              <w:tblCellSpacing w:w="0" w:type="dxa"/>
              <w:tblBorders>
                <w:top w:val="single" w:sz="6" w:space="0" w:color="999999"/>
              </w:tblBorders>
              <w:shd w:val="clear" w:color="auto" w:fill="FFFFFF"/>
              <w:tblCellMar>
                <w:top w:w="75" w:type="dxa"/>
                <w:left w:w="0" w:type="dxa"/>
                <w:right w:w="0" w:type="dxa"/>
              </w:tblCellMar>
              <w:tblLook w:val="04A0" w:firstRow="1" w:lastRow="0" w:firstColumn="1" w:lastColumn="0" w:noHBand="0" w:noVBand="1"/>
            </w:tblPr>
            <w:tblGrid>
              <w:gridCol w:w="10050"/>
            </w:tblGrid>
            <w:tr w:rsidR="00861EF8" w:rsidRPr="00861EF8" w14:paraId="0D36833E" w14:textId="77777777">
              <w:trPr>
                <w:tblCellSpacing w:w="0" w:type="dxa"/>
              </w:trPr>
              <w:tc>
                <w:tcPr>
                  <w:tcW w:w="0" w:type="auto"/>
                  <w:shd w:val="clear" w:color="auto" w:fill="FFFFFF"/>
                  <w:vAlign w:val="center"/>
                  <w:hideMark/>
                </w:tcPr>
                <w:p w14:paraId="3A6E861B" w14:textId="77777777" w:rsidR="00861EF8" w:rsidRPr="00861EF8" w:rsidRDefault="00861EF8" w:rsidP="00861EF8">
                  <w:pPr>
                    <w:spacing w:before="100" w:beforeAutospacing="1" w:after="100" w:afterAutospacing="1" w:line="240" w:lineRule="auto"/>
                    <w:rPr>
                      <w:rFonts w:ascii="Times New Roman" w:eastAsia="Times New Roman" w:hAnsi="Times New Roman" w:cs="Times New Roman"/>
                      <w:sz w:val="24"/>
                      <w:szCs w:val="24"/>
                    </w:rPr>
                  </w:pPr>
                  <w:r w:rsidRPr="00861EF8">
                    <w:rPr>
                      <w:rFonts w:ascii="Times New Roman" w:eastAsia="Times New Roman" w:hAnsi="Times New Roman" w:cs="Times New Roman"/>
                      <w:sz w:val="24"/>
                      <w:szCs w:val="24"/>
                    </w:rPr>
                    <w:t>IMPORTANT DISCLOSURES</w:t>
                  </w:r>
                </w:p>
                <w:p w14:paraId="3D1B8BC8" w14:textId="77777777" w:rsidR="00861EF8" w:rsidRPr="00861EF8" w:rsidRDefault="00861EF8" w:rsidP="00861EF8">
                  <w:pPr>
                    <w:spacing w:before="100" w:beforeAutospacing="1" w:after="100" w:afterAutospacing="1" w:line="240" w:lineRule="auto"/>
                    <w:rPr>
                      <w:rFonts w:ascii="Times New Roman" w:eastAsia="Times New Roman" w:hAnsi="Times New Roman" w:cs="Times New Roman"/>
                      <w:sz w:val="24"/>
                      <w:szCs w:val="24"/>
                    </w:rPr>
                  </w:pPr>
                  <w:r w:rsidRPr="00861EF8">
                    <w:rPr>
                      <w:rFonts w:ascii="Times New Roman" w:eastAsia="Times New Roman" w:hAnsi="Times New Roman" w:cs="Times New Roman"/>
                      <w:sz w:val="24"/>
                      <w:szCs w:val="24"/>
                    </w:rPr>
                    <w:t>Note: Advisory services offered through Carolina Wealth Advisors (CWA) and The Strategic Financial Alliance, Inc. (SFA), registered investment advisers. Securities offered through The Strategic Financial Alliance, Inc. (SFA), member FINRA/SIPC. Christopher St. John, M. Radcliff Lowery, and Christy Horlacher, are registered representatives and investment adviser representatives of SFA, which is otherwise unaffiliated with CWA. CWA and SFA do not provide any tax or legal advice. SFA corporate offices 678-954-4000.</w:t>
                  </w:r>
                </w:p>
                <w:p w14:paraId="64CE468E" w14:textId="77777777" w:rsidR="00861EF8" w:rsidRPr="00861EF8" w:rsidRDefault="00861EF8" w:rsidP="00861EF8">
                  <w:pPr>
                    <w:spacing w:before="100" w:beforeAutospacing="1" w:after="100" w:afterAutospacing="1" w:line="240" w:lineRule="auto"/>
                    <w:rPr>
                      <w:rFonts w:ascii="Times New Roman" w:eastAsia="Times New Roman" w:hAnsi="Times New Roman" w:cs="Times New Roman"/>
                      <w:sz w:val="24"/>
                      <w:szCs w:val="24"/>
                    </w:rPr>
                  </w:pPr>
                  <w:r w:rsidRPr="00861EF8">
                    <w:rPr>
                      <w:rFonts w:ascii="Times New Roman" w:eastAsia="Times New Roman" w:hAnsi="Times New Roman" w:cs="Times New Roman"/>
                      <w:sz w:val="24"/>
                      <w:szCs w:val="24"/>
                    </w:rPr>
                    <w:lastRenderedPageBreak/>
                    <w:t>Insurance Products guarantees are subject to the financial strength and claims-paying ability of the issuing company, and may be subject to restrictions, limitations or early withdrawal fees. Annuities are not FDIC insured.</w:t>
                  </w:r>
                </w:p>
                <w:p w14:paraId="587599B0" w14:textId="77777777" w:rsidR="00861EF8" w:rsidRPr="00861EF8" w:rsidRDefault="00861EF8" w:rsidP="00861EF8">
                  <w:pPr>
                    <w:spacing w:before="100" w:beforeAutospacing="1" w:after="100" w:afterAutospacing="1" w:line="240" w:lineRule="auto"/>
                    <w:rPr>
                      <w:rFonts w:ascii="Times New Roman" w:eastAsia="Times New Roman" w:hAnsi="Times New Roman" w:cs="Times New Roman"/>
                      <w:sz w:val="24"/>
                      <w:szCs w:val="24"/>
                    </w:rPr>
                  </w:pPr>
                  <w:r w:rsidRPr="00861EF8">
                    <w:rPr>
                      <w:rFonts w:ascii="Times New Roman" w:eastAsia="Times New Roman" w:hAnsi="Times New Roman" w:cs="Times New Roman"/>
                      <w:sz w:val="24"/>
                      <w:szCs w:val="24"/>
                    </w:rPr>
                    <w:t>Broadridge Investor Communication Solutions, Inc. does not provide investment, tax, or legal advice. The information presented here is not specific to any individual's personal circumstances.</w:t>
                  </w:r>
                </w:p>
                <w:p w14:paraId="3295E88E" w14:textId="77777777" w:rsidR="00861EF8" w:rsidRPr="00861EF8" w:rsidRDefault="00861EF8" w:rsidP="00861EF8">
                  <w:pPr>
                    <w:spacing w:before="100" w:beforeAutospacing="1" w:after="100" w:afterAutospacing="1" w:line="240" w:lineRule="auto"/>
                    <w:rPr>
                      <w:rFonts w:ascii="Times New Roman" w:eastAsia="Times New Roman" w:hAnsi="Times New Roman" w:cs="Times New Roman"/>
                      <w:sz w:val="24"/>
                      <w:szCs w:val="24"/>
                    </w:rPr>
                  </w:pPr>
                  <w:r w:rsidRPr="00861EF8">
                    <w:rPr>
                      <w:rFonts w:ascii="Times New Roman" w:eastAsia="Times New Roman" w:hAnsi="Times New Roman" w:cs="Times New Roman"/>
                      <w:sz w:val="24"/>
                      <w:szCs w:val="24"/>
                    </w:rPr>
                    <w:t>To the extent that this material concerns tax matters, it is not intended or written to be used, and cannot be used, by a taxpayer for the purpose of avoiding penalties that may be imposed by law. Each taxpayer should seek independent advice from a tax professional based on his or her individual circumstances.</w:t>
                  </w:r>
                </w:p>
                <w:p w14:paraId="3C074D7A" w14:textId="77777777" w:rsidR="00861EF8" w:rsidRPr="00861EF8" w:rsidRDefault="00861EF8" w:rsidP="00861EF8">
                  <w:pPr>
                    <w:spacing w:before="100" w:beforeAutospacing="1" w:after="100" w:afterAutospacing="1" w:line="240" w:lineRule="auto"/>
                    <w:rPr>
                      <w:rFonts w:ascii="Times New Roman" w:eastAsia="Times New Roman" w:hAnsi="Times New Roman" w:cs="Times New Roman"/>
                      <w:sz w:val="24"/>
                      <w:szCs w:val="24"/>
                    </w:rPr>
                  </w:pPr>
                  <w:r w:rsidRPr="00861EF8">
                    <w:rPr>
                      <w:rFonts w:ascii="Times New Roman" w:eastAsia="Times New Roman" w:hAnsi="Times New Roman" w:cs="Times New Roman"/>
                      <w:sz w:val="24"/>
                      <w:szCs w:val="24"/>
                    </w:rPr>
                    <w:t>These materials are provided for general information and educational purposes based upon publicly available information from sources believed to be reliable—we cannot assure the accuracy or completeness of these materials. The information in these materials may change at any time and without notice.</w:t>
                  </w:r>
                </w:p>
                <w:p w14:paraId="7F341C81" w14:textId="77777777" w:rsidR="00861EF8" w:rsidRPr="00861EF8" w:rsidRDefault="00861EF8" w:rsidP="00861EF8">
                  <w:pPr>
                    <w:spacing w:after="0" w:line="240" w:lineRule="auto"/>
                    <w:rPr>
                      <w:rFonts w:ascii="Times New Roman" w:eastAsia="Times New Roman" w:hAnsi="Times New Roman" w:cs="Times New Roman"/>
                      <w:sz w:val="24"/>
                      <w:szCs w:val="24"/>
                    </w:rPr>
                  </w:pPr>
                  <w:r w:rsidRPr="00861EF8">
                    <w:rPr>
                      <w:rFonts w:ascii="Times New Roman" w:eastAsia="Times New Roman" w:hAnsi="Times New Roman" w:cs="Times New Roman"/>
                      <w:sz w:val="24"/>
                      <w:szCs w:val="24"/>
                    </w:rPr>
                    <w:br/>
                  </w:r>
                  <w:r w:rsidRPr="00861EF8">
                    <w:rPr>
                      <w:rFonts w:ascii="Times New Roman" w:eastAsia="Times New Roman" w:hAnsi="Times New Roman" w:cs="Times New Roman"/>
                      <w:sz w:val="24"/>
                      <w:szCs w:val="24"/>
                    </w:rPr>
                    <w:br/>
                    <w:t>This communication is strictly intended for individuals residing in the state(s) of AZ, CA, CT, FL, GA, IL, IN, KY, MD, MA, MT, NJ, NM, NY, NC, OK, PA, SC, TX, VA, WA and WV. No offers may be made or accepted from any resident outside the specific states referenced.</w:t>
                  </w:r>
                </w:p>
              </w:tc>
            </w:tr>
            <w:tr w:rsidR="00861EF8" w:rsidRPr="00861EF8" w14:paraId="39BB1EF7" w14:textId="77777777">
              <w:trPr>
                <w:tblCellSpacing w:w="0" w:type="dxa"/>
              </w:trPr>
              <w:tc>
                <w:tcPr>
                  <w:tcW w:w="0" w:type="auto"/>
                  <w:shd w:val="clear" w:color="auto" w:fill="FFFFFF"/>
                  <w:vAlign w:val="center"/>
                  <w:hideMark/>
                </w:tcPr>
                <w:p w14:paraId="7F559718" w14:textId="77777777" w:rsidR="00861EF8" w:rsidRPr="00861EF8" w:rsidRDefault="00861EF8" w:rsidP="00861EF8">
                  <w:pPr>
                    <w:spacing w:before="100" w:beforeAutospacing="1" w:after="100" w:afterAutospacing="1" w:line="240" w:lineRule="auto"/>
                    <w:rPr>
                      <w:rFonts w:ascii="Times New Roman" w:eastAsia="Times New Roman" w:hAnsi="Times New Roman" w:cs="Times New Roman"/>
                      <w:b/>
                      <w:bCs/>
                      <w:sz w:val="16"/>
                      <w:szCs w:val="16"/>
                    </w:rPr>
                  </w:pPr>
                  <w:r w:rsidRPr="00861EF8">
                    <w:rPr>
                      <w:rFonts w:ascii="Times New Roman" w:eastAsia="Times New Roman" w:hAnsi="Times New Roman" w:cs="Times New Roman"/>
                      <w:b/>
                      <w:bCs/>
                      <w:sz w:val="16"/>
                      <w:szCs w:val="16"/>
                    </w:rPr>
                    <w:lastRenderedPageBreak/>
                    <w:t>Prepared by Broadridge Advisor Solutions Copyright 2025.</w:t>
                  </w:r>
                </w:p>
                <w:p w14:paraId="11926F0E" w14:textId="0F790759" w:rsidR="00861EF8" w:rsidRPr="00861EF8" w:rsidRDefault="00861EF8" w:rsidP="00861EF8">
                  <w:pPr>
                    <w:spacing w:before="100" w:beforeAutospacing="1" w:after="100" w:afterAutospacing="1" w:line="240" w:lineRule="auto"/>
                    <w:rPr>
                      <w:rFonts w:ascii="Times New Roman" w:eastAsia="Times New Roman" w:hAnsi="Times New Roman" w:cs="Times New Roman"/>
                      <w:sz w:val="16"/>
                      <w:szCs w:val="16"/>
                    </w:rPr>
                  </w:pPr>
                </w:p>
              </w:tc>
            </w:tr>
          </w:tbl>
          <w:p w14:paraId="5A9FAA05" w14:textId="77777777" w:rsidR="00861EF8" w:rsidRPr="00861EF8" w:rsidRDefault="00861EF8" w:rsidP="00861EF8">
            <w:pPr>
              <w:spacing w:after="0" w:line="240" w:lineRule="auto"/>
              <w:rPr>
                <w:rFonts w:ascii="Arial" w:eastAsia="Times New Roman" w:hAnsi="Arial" w:cs="Arial"/>
                <w:color w:val="000000"/>
                <w:sz w:val="20"/>
                <w:szCs w:val="20"/>
              </w:rPr>
            </w:pPr>
          </w:p>
        </w:tc>
      </w:tr>
    </w:tbl>
    <w:p w14:paraId="303AC8D8" w14:textId="77777777" w:rsidR="00B84669" w:rsidRPr="00861EF8" w:rsidRDefault="00B84669" w:rsidP="00861EF8"/>
    <w:sectPr w:rsidR="00B84669" w:rsidRPr="00861EF8" w:rsidSect="00D34ADD">
      <w:headerReference w:type="default" r:id="rId8"/>
      <w:footerReference w:type="default" r:id="rId9"/>
      <w:pgSz w:w="12240" w:h="15840"/>
      <w:pgMar w:top="720" w:right="720" w:bottom="720" w:left="720"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FE322" w14:textId="77777777" w:rsidR="00091A12" w:rsidRDefault="00091A12" w:rsidP="00971BD1">
      <w:pPr>
        <w:spacing w:after="0" w:line="240" w:lineRule="auto"/>
      </w:pPr>
      <w:r>
        <w:separator/>
      </w:r>
    </w:p>
  </w:endnote>
  <w:endnote w:type="continuationSeparator" w:id="0">
    <w:p w14:paraId="0109632B" w14:textId="77777777" w:rsidR="00091A12" w:rsidRDefault="00091A12" w:rsidP="00971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CC0E4" w14:textId="77777777" w:rsidR="00971BD1" w:rsidRDefault="00C95E64">
    <w:pPr>
      <w:pStyle w:val="Footer"/>
    </w:pPr>
    <w:r>
      <w:rPr>
        <w:rFonts w:ascii="Arial" w:eastAsia="Times New Roman" w:hAnsi="Arial" w:cs="Arial"/>
        <w:noProof/>
        <w:color w:val="228E92"/>
        <w:sz w:val="20"/>
        <w:szCs w:val="20"/>
      </w:rPr>
      <mc:AlternateContent>
        <mc:Choice Requires="wps">
          <w:drawing>
            <wp:anchor distT="0" distB="0" distL="114300" distR="114300" simplePos="0" relativeHeight="251659264" behindDoc="0" locked="0" layoutInCell="1" allowOverlap="1" wp14:anchorId="1D6E1087" wp14:editId="62DAB390">
              <wp:simplePos x="0" y="0"/>
              <wp:positionH relativeFrom="page">
                <wp:align>left</wp:align>
              </wp:positionH>
              <wp:positionV relativeFrom="paragraph">
                <wp:posOffset>50799</wp:posOffset>
              </wp:positionV>
              <wp:extent cx="7772400" cy="9048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04875"/>
                      </a:xfrm>
                      <a:prstGeom prst="rect">
                        <a:avLst/>
                      </a:prstGeom>
                      <a:solidFill>
                        <a:srgbClr val="0E3B34"/>
                      </a:solidFill>
                      <a:ln w="9525">
                        <a:solidFill>
                          <a:srgbClr val="000000"/>
                        </a:solidFill>
                        <a:miter lim="800000"/>
                        <a:headEnd/>
                        <a:tailEnd/>
                      </a:ln>
                    </wps:spPr>
                    <wps:txbx>
                      <w:txbxContent>
                        <w:p w14:paraId="45565BE9" w14:textId="77777777" w:rsidR="00D34ADD" w:rsidRDefault="00D34ADD" w:rsidP="006B472E">
                          <w:pPr>
                            <w:pStyle w:val="NoSpacing"/>
                            <w:jc w:val="center"/>
                            <w:rPr>
                              <w:rStyle w:val="Hyperlink"/>
                              <w:rFonts w:ascii="Arial" w:eastAsia="Times New Roman" w:hAnsi="Arial" w:cs="Arial"/>
                              <w:color w:val="FFFFFF"/>
                              <w:sz w:val="20"/>
                              <w:szCs w:val="20"/>
                              <w:u w:val="none"/>
                              <w:bdr w:val="none" w:sz="0" w:space="0" w:color="auto" w:frame="1"/>
                            </w:rPr>
                          </w:pPr>
                        </w:p>
                        <w:p w14:paraId="2874912B" w14:textId="3B83AB7B" w:rsidR="00D737A2" w:rsidRPr="007A2564" w:rsidRDefault="00D34ADD" w:rsidP="006B472E">
                          <w:pPr>
                            <w:pStyle w:val="NoSpacing"/>
                            <w:jc w:val="center"/>
                            <w:rPr>
                              <w:rStyle w:val="Hyperlink"/>
                              <w:rFonts w:ascii="Arial" w:eastAsia="Times New Roman" w:hAnsi="Arial" w:cs="Arial"/>
                              <w:color w:val="FFFFFF"/>
                              <w:sz w:val="20"/>
                              <w:szCs w:val="20"/>
                              <w:u w:val="none"/>
                              <w:bdr w:val="none" w:sz="0" w:space="0" w:color="auto" w:frame="1"/>
                            </w:rPr>
                          </w:pPr>
                          <w:r w:rsidRPr="00D34ADD">
                            <w:rPr>
                              <w:rStyle w:val="Hyperlink"/>
                              <w:rFonts w:ascii="Arial" w:eastAsia="Times New Roman" w:hAnsi="Arial" w:cs="Arial"/>
                              <w:color w:val="FFFFFF"/>
                              <w:sz w:val="20"/>
                              <w:szCs w:val="20"/>
                              <w:u w:val="none"/>
                              <w:bdr w:val="none" w:sz="0" w:space="0" w:color="auto" w:frame="1"/>
                            </w:rPr>
                            <w:tab/>
                            <w:t>Advisory services offered through 2CG, LLC dba Carolina Wealth Advisors and The Strategic Financial Alliance, Inc., registered investment advisers. Securities offered through The Strategic Financial Alliance, Inc. (SFA), member FINRA/SIPC. Carolina Wealth Advisors and SFA are not affiliated entities. Carolina Wealth Advisors and SFA do not provide any tax or legal advice.  SFA corporate offices 678-954-4000.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E1087" id="Rectangle 2" o:spid="_x0000_s1026" style="position:absolute;margin-left:0;margin-top:4pt;width:612pt;height:71.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" fillcolor="#0e3b34">
              <v:textbox>
                <w:txbxContent>
                  <w:p w14:paraId="45565BE9" w14:textId="77777777" w:rsidR="00D34ADD" w:rsidRDefault="00D34ADD" w:rsidP="006B472E">
                    <w:pPr>
                      <w:pStyle w:val="NoSpacing"/>
                      <w:jc w:val="center"/>
                      <w:rPr>
                        <w:rStyle w:val="Hyperlink"/>
                        <w:rFonts w:ascii="Arial" w:eastAsia="Times New Roman" w:hAnsi="Arial" w:cs="Arial"/>
                        <w:color w:val="FFFFFF"/>
                        <w:sz w:val="20"/>
                        <w:szCs w:val="20"/>
                        <w:u w:val="none"/>
                        <w:bdr w:val="none" w:sz="0" w:space="0" w:color="auto" w:frame="1"/>
                      </w:rPr>
                    </w:pPr>
                  </w:p>
                  <w:p w14:paraId="2874912B" w14:textId="3B83AB7B" w:rsidR="00D737A2" w:rsidRPr="007A2564" w:rsidRDefault="00D34ADD" w:rsidP="006B472E">
                    <w:pPr>
                      <w:pStyle w:val="NoSpacing"/>
                      <w:jc w:val="center"/>
                      <w:rPr>
                        <w:rStyle w:val="Hyperlink"/>
                        <w:rFonts w:ascii="Arial" w:eastAsia="Times New Roman" w:hAnsi="Arial" w:cs="Arial"/>
                        <w:color w:val="FFFFFF"/>
                        <w:sz w:val="20"/>
                        <w:szCs w:val="20"/>
                        <w:u w:val="none"/>
                        <w:bdr w:val="none" w:sz="0" w:space="0" w:color="auto" w:frame="1"/>
                      </w:rPr>
                    </w:pPr>
                    <w:r w:rsidRPr="00D34ADD">
                      <w:rPr>
                        <w:rStyle w:val="Hyperlink"/>
                        <w:rFonts w:ascii="Arial" w:eastAsia="Times New Roman" w:hAnsi="Arial" w:cs="Arial"/>
                        <w:color w:val="FFFFFF"/>
                        <w:sz w:val="20"/>
                        <w:szCs w:val="20"/>
                        <w:u w:val="none"/>
                        <w:bdr w:val="none" w:sz="0" w:space="0" w:color="auto" w:frame="1"/>
                      </w:rPr>
                      <w:tab/>
                      <w:t>Advisory services offered through 2CG, LLC dba Carolina Wealth Advisors and The Strategic Financial Alliance, Inc., registered investment advisers. Securities offered through The Strategic Financial Alliance, Inc. (SFA), member FINRA/SIPC. Carolina Wealth Advisors and SFA are not affiliated entities. Carolina Wealth Advisors and SFA do not provide any tax or legal advice.  SFA corporate offices 678-954-4000.</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831B5" w14:textId="77777777" w:rsidR="00091A12" w:rsidRDefault="00091A12" w:rsidP="00971BD1">
      <w:pPr>
        <w:spacing w:after="0" w:line="240" w:lineRule="auto"/>
      </w:pPr>
      <w:r>
        <w:separator/>
      </w:r>
    </w:p>
  </w:footnote>
  <w:footnote w:type="continuationSeparator" w:id="0">
    <w:p w14:paraId="1092D9E3" w14:textId="77777777" w:rsidR="00091A12" w:rsidRDefault="00091A12" w:rsidP="00971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CE7CC" w14:textId="77777777" w:rsidR="00971BD1" w:rsidRDefault="00C95E64" w:rsidP="007D18F7">
    <w:pPr>
      <w:pStyle w:val="Header"/>
      <w:jc w:val="center"/>
    </w:pPr>
    <w:r>
      <w:rPr>
        <w:noProof/>
      </w:rPr>
      <mc:AlternateContent>
        <mc:Choice Requires="wps">
          <w:drawing>
            <wp:anchor distT="0" distB="0" distL="114300" distR="114300" simplePos="0" relativeHeight="251658240" behindDoc="0" locked="0" layoutInCell="1" allowOverlap="1" wp14:anchorId="566A1A41" wp14:editId="3F7E05A2">
              <wp:simplePos x="0" y="0"/>
              <wp:positionH relativeFrom="column">
                <wp:posOffset>-447675</wp:posOffset>
              </wp:positionH>
              <wp:positionV relativeFrom="paragraph">
                <wp:posOffset>-457200</wp:posOffset>
              </wp:positionV>
              <wp:extent cx="7753350" cy="409575"/>
              <wp:effectExtent l="0" t="0" r="0" b="952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3350" cy="409575"/>
                      </a:xfrm>
                      <a:prstGeom prst="rect">
                        <a:avLst/>
                      </a:prstGeom>
                      <a:solidFill>
                        <a:srgbClr val="0E3B34"/>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34CFF" id="Rectangle 1" o:spid="_x0000_s1026" style="position:absolute;margin-left:-35.25pt;margin-top:-36pt;width:610.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" fillcolor="#0e3b34"/>
          </w:pict>
        </mc:Fallback>
      </mc:AlternateContent>
    </w:r>
    <w:r w:rsidR="00971BD1">
      <w:rPr>
        <w:noProof/>
      </w:rPr>
      <w:drawing>
        <wp:inline distT="0" distB="0" distL="0" distR="0" wp14:anchorId="60AADF68" wp14:editId="16498488">
          <wp:extent cx="1657350" cy="1290366"/>
          <wp:effectExtent l="0" t="0" r="0" b="5080"/>
          <wp:docPr id="1" name="Picture 1" descr="M:\Files - Marketing\Logos\Ranking Company\logo-carolina-wealth_green_without_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Files - Marketing\Logos\Ranking Company\logo-carolina-wealth_green_without_circle.jpg"/>
                  <pic:cNvPicPr>
                    <a:picLocks noChangeAspect="1" noChangeArrowheads="1"/>
                  </pic:cNvPicPr>
                </pic:nvPicPr>
                <pic:blipFill>
                  <a:blip r:embed="rId1" cstate="print"/>
                  <a:srcRect/>
                  <a:stretch>
                    <a:fillRect/>
                  </a:stretch>
                </pic:blipFill>
                <pic:spPr bwMode="auto">
                  <a:xfrm>
                    <a:off x="0" y="0"/>
                    <a:ext cx="1672108" cy="1301856"/>
                  </a:xfrm>
                  <a:prstGeom prst="rect">
                    <a:avLst/>
                  </a:prstGeom>
                  <a:noFill/>
                  <a:ln w="9525">
                    <a:noFill/>
                    <a:miter lim="800000"/>
                    <a:headEnd/>
                    <a:tailEnd/>
                  </a:ln>
                </pic:spPr>
              </pic:pic>
            </a:graphicData>
          </a:graphic>
        </wp:inline>
      </w:drawing>
    </w:r>
  </w:p>
  <w:p w14:paraId="41A53F7F" w14:textId="77777777" w:rsidR="007D18F7" w:rsidRPr="006B472E" w:rsidRDefault="007D18F7" w:rsidP="007D18F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31C5C"/>
    <w:multiLevelType w:val="multilevel"/>
    <w:tmpl w:val="5898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316F2C"/>
    <w:multiLevelType w:val="multilevel"/>
    <w:tmpl w:val="5D1C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3920C0"/>
    <w:multiLevelType w:val="multilevel"/>
    <w:tmpl w:val="4258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0278D4"/>
    <w:multiLevelType w:val="multilevel"/>
    <w:tmpl w:val="6162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0A40D4"/>
    <w:multiLevelType w:val="multilevel"/>
    <w:tmpl w:val="74F8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F9592A"/>
    <w:multiLevelType w:val="multilevel"/>
    <w:tmpl w:val="F7E6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3A5C32"/>
    <w:multiLevelType w:val="multilevel"/>
    <w:tmpl w:val="4504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C62400"/>
    <w:multiLevelType w:val="multilevel"/>
    <w:tmpl w:val="A48A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AD1027"/>
    <w:multiLevelType w:val="multilevel"/>
    <w:tmpl w:val="B57E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C21AAD"/>
    <w:multiLevelType w:val="multilevel"/>
    <w:tmpl w:val="0552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740E06"/>
    <w:multiLevelType w:val="multilevel"/>
    <w:tmpl w:val="4F14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FB4AEB"/>
    <w:multiLevelType w:val="multilevel"/>
    <w:tmpl w:val="B7E2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72338D"/>
    <w:multiLevelType w:val="multilevel"/>
    <w:tmpl w:val="BBC06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D80744"/>
    <w:multiLevelType w:val="multilevel"/>
    <w:tmpl w:val="FABCA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AF5666"/>
    <w:multiLevelType w:val="multilevel"/>
    <w:tmpl w:val="8A68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3599644">
    <w:abstractNumId w:val="1"/>
  </w:num>
  <w:num w:numId="2" w16cid:durableId="1669553981">
    <w:abstractNumId w:val="5"/>
  </w:num>
  <w:num w:numId="3" w16cid:durableId="1255090108">
    <w:abstractNumId w:val="14"/>
  </w:num>
  <w:num w:numId="4" w16cid:durableId="1557624117">
    <w:abstractNumId w:val="3"/>
  </w:num>
  <w:num w:numId="5" w16cid:durableId="1755543061">
    <w:abstractNumId w:val="8"/>
  </w:num>
  <w:num w:numId="6" w16cid:durableId="369889047">
    <w:abstractNumId w:val="9"/>
  </w:num>
  <w:num w:numId="7" w16cid:durableId="168909728">
    <w:abstractNumId w:val="2"/>
  </w:num>
  <w:num w:numId="8" w16cid:durableId="2145343867">
    <w:abstractNumId w:val="11"/>
  </w:num>
  <w:num w:numId="9" w16cid:durableId="743574335">
    <w:abstractNumId w:val="12"/>
  </w:num>
  <w:num w:numId="10" w16cid:durableId="2123377453">
    <w:abstractNumId w:val="10"/>
  </w:num>
  <w:num w:numId="11" w16cid:durableId="1977877386">
    <w:abstractNumId w:val="0"/>
  </w:num>
  <w:num w:numId="12" w16cid:durableId="8919443">
    <w:abstractNumId w:val="13"/>
  </w:num>
  <w:num w:numId="13" w16cid:durableId="604381803">
    <w:abstractNumId w:val="7"/>
  </w:num>
  <w:num w:numId="14" w16cid:durableId="990788333">
    <w:abstractNumId w:val="4"/>
  </w:num>
  <w:num w:numId="15" w16cid:durableId="6869643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efaultTabStop w:val="720"/>
  <w:drawingGridHorizontalSpacing w:val="110"/>
  <w:displayHorizontalDrawingGridEvery w:val="2"/>
  <w:characterSpacingControl w:val="doNotCompress"/>
  <w:hdrShapeDefaults>
    <o:shapedefaults v:ext="edit" spidmax="2050">
      <o:colormru v:ext="edit" colors="#0e3b3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669"/>
    <w:rsid w:val="00091A12"/>
    <w:rsid w:val="000E21CE"/>
    <w:rsid w:val="00120B31"/>
    <w:rsid w:val="00142D99"/>
    <w:rsid w:val="001647B2"/>
    <w:rsid w:val="00165CD8"/>
    <w:rsid w:val="00192273"/>
    <w:rsid w:val="001B153A"/>
    <w:rsid w:val="001B2BF5"/>
    <w:rsid w:val="001B44DB"/>
    <w:rsid w:val="002402D8"/>
    <w:rsid w:val="00250914"/>
    <w:rsid w:val="00267D3E"/>
    <w:rsid w:val="00267DDD"/>
    <w:rsid w:val="00275926"/>
    <w:rsid w:val="00296F0D"/>
    <w:rsid w:val="002A49E7"/>
    <w:rsid w:val="002B1D52"/>
    <w:rsid w:val="002E16AD"/>
    <w:rsid w:val="00313D5B"/>
    <w:rsid w:val="00335084"/>
    <w:rsid w:val="0033595A"/>
    <w:rsid w:val="00346C3A"/>
    <w:rsid w:val="003631A1"/>
    <w:rsid w:val="00395DA5"/>
    <w:rsid w:val="003B03E9"/>
    <w:rsid w:val="003C6225"/>
    <w:rsid w:val="003D2E42"/>
    <w:rsid w:val="003E003D"/>
    <w:rsid w:val="00412ACD"/>
    <w:rsid w:val="004439A2"/>
    <w:rsid w:val="004453BA"/>
    <w:rsid w:val="004D77BE"/>
    <w:rsid w:val="00500608"/>
    <w:rsid w:val="005100A9"/>
    <w:rsid w:val="00514715"/>
    <w:rsid w:val="005151EA"/>
    <w:rsid w:val="0054763D"/>
    <w:rsid w:val="00547A7D"/>
    <w:rsid w:val="005A3BA5"/>
    <w:rsid w:val="00607617"/>
    <w:rsid w:val="00636E0B"/>
    <w:rsid w:val="00680C4F"/>
    <w:rsid w:val="00683DB8"/>
    <w:rsid w:val="0068595F"/>
    <w:rsid w:val="006A1999"/>
    <w:rsid w:val="006B41B2"/>
    <w:rsid w:val="006B472E"/>
    <w:rsid w:val="006C0C13"/>
    <w:rsid w:val="006E735F"/>
    <w:rsid w:val="00714C47"/>
    <w:rsid w:val="007459CF"/>
    <w:rsid w:val="007468E5"/>
    <w:rsid w:val="0075325B"/>
    <w:rsid w:val="00770127"/>
    <w:rsid w:val="00797EAD"/>
    <w:rsid w:val="007A2564"/>
    <w:rsid w:val="007B6C6F"/>
    <w:rsid w:val="007C07F9"/>
    <w:rsid w:val="007D18F7"/>
    <w:rsid w:val="007D7D92"/>
    <w:rsid w:val="007D7F9E"/>
    <w:rsid w:val="007F46C9"/>
    <w:rsid w:val="0080238D"/>
    <w:rsid w:val="00824A4C"/>
    <w:rsid w:val="008575B0"/>
    <w:rsid w:val="00861EF8"/>
    <w:rsid w:val="00871405"/>
    <w:rsid w:val="00887F9A"/>
    <w:rsid w:val="0089306D"/>
    <w:rsid w:val="009279F5"/>
    <w:rsid w:val="0093324F"/>
    <w:rsid w:val="00935D86"/>
    <w:rsid w:val="00942491"/>
    <w:rsid w:val="00950BDD"/>
    <w:rsid w:val="00953166"/>
    <w:rsid w:val="00971BD1"/>
    <w:rsid w:val="009944FA"/>
    <w:rsid w:val="009A5535"/>
    <w:rsid w:val="009B1675"/>
    <w:rsid w:val="009C277E"/>
    <w:rsid w:val="009C5617"/>
    <w:rsid w:val="009C5BB9"/>
    <w:rsid w:val="009F6549"/>
    <w:rsid w:val="00A93CAC"/>
    <w:rsid w:val="00AC5F81"/>
    <w:rsid w:val="00AD0E56"/>
    <w:rsid w:val="00AD52AC"/>
    <w:rsid w:val="00B2380B"/>
    <w:rsid w:val="00B50950"/>
    <w:rsid w:val="00B51831"/>
    <w:rsid w:val="00B72465"/>
    <w:rsid w:val="00B7691B"/>
    <w:rsid w:val="00B84669"/>
    <w:rsid w:val="00BA3A80"/>
    <w:rsid w:val="00BF104B"/>
    <w:rsid w:val="00BF1B5D"/>
    <w:rsid w:val="00C27B0F"/>
    <w:rsid w:val="00C95E64"/>
    <w:rsid w:val="00CF1799"/>
    <w:rsid w:val="00CF57D8"/>
    <w:rsid w:val="00D10444"/>
    <w:rsid w:val="00D1713B"/>
    <w:rsid w:val="00D24621"/>
    <w:rsid w:val="00D34ADD"/>
    <w:rsid w:val="00D676BF"/>
    <w:rsid w:val="00D7201D"/>
    <w:rsid w:val="00D737A2"/>
    <w:rsid w:val="00D74D32"/>
    <w:rsid w:val="00DC266B"/>
    <w:rsid w:val="00DE6682"/>
    <w:rsid w:val="00E301B3"/>
    <w:rsid w:val="00E961F9"/>
    <w:rsid w:val="00EB7555"/>
    <w:rsid w:val="00ED4AD5"/>
    <w:rsid w:val="00EE4327"/>
    <w:rsid w:val="00EF5201"/>
    <w:rsid w:val="00F10CF0"/>
    <w:rsid w:val="00F14A5A"/>
    <w:rsid w:val="00F220DD"/>
    <w:rsid w:val="00F32C89"/>
    <w:rsid w:val="00F356E6"/>
    <w:rsid w:val="00F76477"/>
    <w:rsid w:val="00F828DF"/>
    <w:rsid w:val="00F86E23"/>
    <w:rsid w:val="00FB7C5E"/>
    <w:rsid w:val="00FC1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e3b34"/>
    </o:shapedefaults>
    <o:shapelayout v:ext="edit">
      <o:idmap v:ext="edit" data="2"/>
    </o:shapelayout>
  </w:shapeDefaults>
  <w:decimalSymbol w:val="."/>
  <w:listSeparator w:val=","/>
  <w14:docId w14:val="715299EF"/>
  <w15:docId w15:val="{5E6A2FE3-40C7-48CB-8DEF-430E21945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6C9"/>
  </w:style>
  <w:style w:type="paragraph" w:styleId="Heading2">
    <w:name w:val="heading 2"/>
    <w:basedOn w:val="Normal"/>
    <w:link w:val="Heading2Char"/>
    <w:uiPriority w:val="9"/>
    <w:qFormat/>
    <w:rsid w:val="00714C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14C4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4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669"/>
    <w:rPr>
      <w:rFonts w:ascii="Tahoma" w:hAnsi="Tahoma" w:cs="Tahoma"/>
      <w:sz w:val="16"/>
      <w:szCs w:val="16"/>
    </w:rPr>
  </w:style>
  <w:style w:type="character" w:styleId="Hyperlink">
    <w:name w:val="Hyperlink"/>
    <w:basedOn w:val="DefaultParagraphFont"/>
    <w:uiPriority w:val="99"/>
    <w:unhideWhenUsed/>
    <w:rsid w:val="00B84669"/>
    <w:rPr>
      <w:color w:val="0000FF"/>
      <w:u w:val="single"/>
    </w:rPr>
  </w:style>
  <w:style w:type="paragraph" w:styleId="NoSpacing">
    <w:name w:val="No Spacing"/>
    <w:uiPriority w:val="1"/>
    <w:qFormat/>
    <w:rsid w:val="00B84669"/>
    <w:pPr>
      <w:spacing w:after="0" w:line="240" w:lineRule="auto"/>
    </w:pPr>
  </w:style>
  <w:style w:type="paragraph" w:styleId="NormalWeb">
    <w:name w:val="Normal (Web)"/>
    <w:basedOn w:val="Normal"/>
    <w:uiPriority w:val="99"/>
    <w:unhideWhenUsed/>
    <w:rsid w:val="00B846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4669"/>
    <w:rPr>
      <w:b/>
      <w:bCs/>
    </w:rPr>
  </w:style>
  <w:style w:type="character" w:customStyle="1" w:styleId="apple-converted-space">
    <w:name w:val="apple-converted-space"/>
    <w:basedOn w:val="DefaultParagraphFont"/>
    <w:rsid w:val="00B84669"/>
  </w:style>
  <w:style w:type="character" w:customStyle="1" w:styleId="Heading2Char">
    <w:name w:val="Heading 2 Char"/>
    <w:basedOn w:val="DefaultParagraphFont"/>
    <w:link w:val="Heading2"/>
    <w:uiPriority w:val="9"/>
    <w:rsid w:val="00714C4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14C47"/>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971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BD1"/>
  </w:style>
  <w:style w:type="paragraph" w:styleId="Footer">
    <w:name w:val="footer"/>
    <w:basedOn w:val="Normal"/>
    <w:link w:val="FooterChar"/>
    <w:uiPriority w:val="99"/>
    <w:unhideWhenUsed/>
    <w:rsid w:val="00971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BD1"/>
  </w:style>
  <w:style w:type="character" w:styleId="UnresolvedMention">
    <w:name w:val="Unresolved Mention"/>
    <w:basedOn w:val="DefaultParagraphFont"/>
    <w:uiPriority w:val="99"/>
    <w:semiHidden/>
    <w:unhideWhenUsed/>
    <w:rsid w:val="00267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3295">
      <w:bodyDiv w:val="1"/>
      <w:marLeft w:val="0"/>
      <w:marRight w:val="0"/>
      <w:marTop w:val="0"/>
      <w:marBottom w:val="0"/>
      <w:divBdr>
        <w:top w:val="none" w:sz="0" w:space="0" w:color="auto"/>
        <w:left w:val="none" w:sz="0" w:space="0" w:color="auto"/>
        <w:bottom w:val="none" w:sz="0" w:space="0" w:color="auto"/>
        <w:right w:val="none" w:sz="0" w:space="0" w:color="auto"/>
      </w:divBdr>
    </w:div>
    <w:div w:id="113792904">
      <w:bodyDiv w:val="1"/>
      <w:marLeft w:val="0"/>
      <w:marRight w:val="0"/>
      <w:marTop w:val="0"/>
      <w:marBottom w:val="0"/>
      <w:divBdr>
        <w:top w:val="none" w:sz="0" w:space="0" w:color="auto"/>
        <w:left w:val="none" w:sz="0" w:space="0" w:color="auto"/>
        <w:bottom w:val="none" w:sz="0" w:space="0" w:color="auto"/>
        <w:right w:val="none" w:sz="0" w:space="0" w:color="auto"/>
      </w:divBdr>
    </w:div>
    <w:div w:id="124273911">
      <w:bodyDiv w:val="1"/>
      <w:marLeft w:val="0"/>
      <w:marRight w:val="0"/>
      <w:marTop w:val="0"/>
      <w:marBottom w:val="0"/>
      <w:divBdr>
        <w:top w:val="none" w:sz="0" w:space="0" w:color="auto"/>
        <w:left w:val="none" w:sz="0" w:space="0" w:color="auto"/>
        <w:bottom w:val="none" w:sz="0" w:space="0" w:color="auto"/>
        <w:right w:val="none" w:sz="0" w:space="0" w:color="auto"/>
      </w:divBdr>
      <w:divsChild>
        <w:div w:id="2124572802">
          <w:marLeft w:val="0"/>
          <w:marRight w:val="0"/>
          <w:marTop w:val="0"/>
          <w:marBottom w:val="0"/>
          <w:divBdr>
            <w:top w:val="none" w:sz="0" w:space="0" w:color="auto"/>
            <w:left w:val="none" w:sz="0" w:space="0" w:color="auto"/>
            <w:bottom w:val="none" w:sz="0" w:space="0" w:color="auto"/>
            <w:right w:val="none" w:sz="0" w:space="0" w:color="auto"/>
          </w:divBdr>
        </w:div>
      </w:divsChild>
    </w:div>
    <w:div w:id="155807648">
      <w:bodyDiv w:val="1"/>
      <w:marLeft w:val="0"/>
      <w:marRight w:val="0"/>
      <w:marTop w:val="0"/>
      <w:marBottom w:val="0"/>
      <w:divBdr>
        <w:top w:val="none" w:sz="0" w:space="0" w:color="auto"/>
        <w:left w:val="none" w:sz="0" w:space="0" w:color="auto"/>
        <w:bottom w:val="none" w:sz="0" w:space="0" w:color="auto"/>
        <w:right w:val="none" w:sz="0" w:space="0" w:color="auto"/>
      </w:divBdr>
    </w:div>
    <w:div w:id="236214079">
      <w:bodyDiv w:val="1"/>
      <w:marLeft w:val="0"/>
      <w:marRight w:val="0"/>
      <w:marTop w:val="0"/>
      <w:marBottom w:val="0"/>
      <w:divBdr>
        <w:top w:val="none" w:sz="0" w:space="0" w:color="auto"/>
        <w:left w:val="none" w:sz="0" w:space="0" w:color="auto"/>
        <w:bottom w:val="none" w:sz="0" w:space="0" w:color="auto"/>
        <w:right w:val="none" w:sz="0" w:space="0" w:color="auto"/>
      </w:divBdr>
    </w:div>
    <w:div w:id="257564587">
      <w:bodyDiv w:val="1"/>
      <w:marLeft w:val="0"/>
      <w:marRight w:val="0"/>
      <w:marTop w:val="0"/>
      <w:marBottom w:val="0"/>
      <w:divBdr>
        <w:top w:val="none" w:sz="0" w:space="0" w:color="auto"/>
        <w:left w:val="none" w:sz="0" w:space="0" w:color="auto"/>
        <w:bottom w:val="none" w:sz="0" w:space="0" w:color="auto"/>
        <w:right w:val="none" w:sz="0" w:space="0" w:color="auto"/>
      </w:divBdr>
    </w:div>
    <w:div w:id="299118726">
      <w:bodyDiv w:val="1"/>
      <w:marLeft w:val="0"/>
      <w:marRight w:val="0"/>
      <w:marTop w:val="0"/>
      <w:marBottom w:val="0"/>
      <w:divBdr>
        <w:top w:val="none" w:sz="0" w:space="0" w:color="auto"/>
        <w:left w:val="none" w:sz="0" w:space="0" w:color="auto"/>
        <w:bottom w:val="none" w:sz="0" w:space="0" w:color="auto"/>
        <w:right w:val="none" w:sz="0" w:space="0" w:color="auto"/>
      </w:divBdr>
    </w:div>
    <w:div w:id="352388500">
      <w:bodyDiv w:val="1"/>
      <w:marLeft w:val="0"/>
      <w:marRight w:val="0"/>
      <w:marTop w:val="0"/>
      <w:marBottom w:val="0"/>
      <w:divBdr>
        <w:top w:val="none" w:sz="0" w:space="0" w:color="auto"/>
        <w:left w:val="none" w:sz="0" w:space="0" w:color="auto"/>
        <w:bottom w:val="none" w:sz="0" w:space="0" w:color="auto"/>
        <w:right w:val="none" w:sz="0" w:space="0" w:color="auto"/>
      </w:divBdr>
    </w:div>
    <w:div w:id="378238269">
      <w:bodyDiv w:val="1"/>
      <w:marLeft w:val="0"/>
      <w:marRight w:val="0"/>
      <w:marTop w:val="0"/>
      <w:marBottom w:val="0"/>
      <w:divBdr>
        <w:top w:val="none" w:sz="0" w:space="0" w:color="auto"/>
        <w:left w:val="none" w:sz="0" w:space="0" w:color="auto"/>
        <w:bottom w:val="none" w:sz="0" w:space="0" w:color="auto"/>
        <w:right w:val="none" w:sz="0" w:space="0" w:color="auto"/>
      </w:divBdr>
    </w:div>
    <w:div w:id="502474300">
      <w:bodyDiv w:val="1"/>
      <w:marLeft w:val="0"/>
      <w:marRight w:val="0"/>
      <w:marTop w:val="0"/>
      <w:marBottom w:val="0"/>
      <w:divBdr>
        <w:top w:val="none" w:sz="0" w:space="0" w:color="auto"/>
        <w:left w:val="none" w:sz="0" w:space="0" w:color="auto"/>
        <w:bottom w:val="none" w:sz="0" w:space="0" w:color="auto"/>
        <w:right w:val="none" w:sz="0" w:space="0" w:color="auto"/>
      </w:divBdr>
    </w:div>
    <w:div w:id="546261403">
      <w:bodyDiv w:val="1"/>
      <w:marLeft w:val="0"/>
      <w:marRight w:val="0"/>
      <w:marTop w:val="0"/>
      <w:marBottom w:val="0"/>
      <w:divBdr>
        <w:top w:val="none" w:sz="0" w:space="0" w:color="auto"/>
        <w:left w:val="none" w:sz="0" w:space="0" w:color="auto"/>
        <w:bottom w:val="none" w:sz="0" w:space="0" w:color="auto"/>
        <w:right w:val="none" w:sz="0" w:space="0" w:color="auto"/>
      </w:divBdr>
    </w:div>
    <w:div w:id="552040579">
      <w:bodyDiv w:val="1"/>
      <w:marLeft w:val="0"/>
      <w:marRight w:val="0"/>
      <w:marTop w:val="0"/>
      <w:marBottom w:val="0"/>
      <w:divBdr>
        <w:top w:val="none" w:sz="0" w:space="0" w:color="auto"/>
        <w:left w:val="none" w:sz="0" w:space="0" w:color="auto"/>
        <w:bottom w:val="none" w:sz="0" w:space="0" w:color="auto"/>
        <w:right w:val="none" w:sz="0" w:space="0" w:color="auto"/>
      </w:divBdr>
    </w:div>
    <w:div w:id="552888700">
      <w:bodyDiv w:val="1"/>
      <w:marLeft w:val="0"/>
      <w:marRight w:val="0"/>
      <w:marTop w:val="0"/>
      <w:marBottom w:val="0"/>
      <w:divBdr>
        <w:top w:val="none" w:sz="0" w:space="0" w:color="auto"/>
        <w:left w:val="none" w:sz="0" w:space="0" w:color="auto"/>
        <w:bottom w:val="none" w:sz="0" w:space="0" w:color="auto"/>
        <w:right w:val="none" w:sz="0" w:space="0" w:color="auto"/>
      </w:divBdr>
    </w:div>
    <w:div w:id="561907292">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53489234">
      <w:bodyDiv w:val="1"/>
      <w:marLeft w:val="0"/>
      <w:marRight w:val="0"/>
      <w:marTop w:val="0"/>
      <w:marBottom w:val="0"/>
      <w:divBdr>
        <w:top w:val="none" w:sz="0" w:space="0" w:color="auto"/>
        <w:left w:val="none" w:sz="0" w:space="0" w:color="auto"/>
        <w:bottom w:val="none" w:sz="0" w:space="0" w:color="auto"/>
        <w:right w:val="none" w:sz="0" w:space="0" w:color="auto"/>
      </w:divBdr>
      <w:divsChild>
        <w:div w:id="754592035">
          <w:marLeft w:val="0"/>
          <w:marRight w:val="0"/>
          <w:marTop w:val="0"/>
          <w:marBottom w:val="0"/>
          <w:divBdr>
            <w:top w:val="none" w:sz="0" w:space="0" w:color="auto"/>
            <w:left w:val="none" w:sz="0" w:space="0" w:color="auto"/>
            <w:bottom w:val="none" w:sz="0" w:space="0" w:color="auto"/>
            <w:right w:val="none" w:sz="0" w:space="0" w:color="auto"/>
          </w:divBdr>
        </w:div>
      </w:divsChild>
    </w:div>
    <w:div w:id="661588622">
      <w:bodyDiv w:val="1"/>
      <w:marLeft w:val="0"/>
      <w:marRight w:val="0"/>
      <w:marTop w:val="0"/>
      <w:marBottom w:val="0"/>
      <w:divBdr>
        <w:top w:val="none" w:sz="0" w:space="0" w:color="auto"/>
        <w:left w:val="none" w:sz="0" w:space="0" w:color="auto"/>
        <w:bottom w:val="none" w:sz="0" w:space="0" w:color="auto"/>
        <w:right w:val="none" w:sz="0" w:space="0" w:color="auto"/>
      </w:divBdr>
    </w:div>
    <w:div w:id="702554114">
      <w:bodyDiv w:val="1"/>
      <w:marLeft w:val="0"/>
      <w:marRight w:val="0"/>
      <w:marTop w:val="0"/>
      <w:marBottom w:val="0"/>
      <w:divBdr>
        <w:top w:val="none" w:sz="0" w:space="0" w:color="auto"/>
        <w:left w:val="none" w:sz="0" w:space="0" w:color="auto"/>
        <w:bottom w:val="none" w:sz="0" w:space="0" w:color="auto"/>
        <w:right w:val="none" w:sz="0" w:space="0" w:color="auto"/>
      </w:divBdr>
    </w:div>
    <w:div w:id="727998285">
      <w:bodyDiv w:val="1"/>
      <w:marLeft w:val="0"/>
      <w:marRight w:val="0"/>
      <w:marTop w:val="0"/>
      <w:marBottom w:val="0"/>
      <w:divBdr>
        <w:top w:val="none" w:sz="0" w:space="0" w:color="auto"/>
        <w:left w:val="none" w:sz="0" w:space="0" w:color="auto"/>
        <w:bottom w:val="none" w:sz="0" w:space="0" w:color="auto"/>
        <w:right w:val="none" w:sz="0" w:space="0" w:color="auto"/>
      </w:divBdr>
    </w:div>
    <w:div w:id="765267448">
      <w:bodyDiv w:val="1"/>
      <w:marLeft w:val="0"/>
      <w:marRight w:val="0"/>
      <w:marTop w:val="0"/>
      <w:marBottom w:val="0"/>
      <w:divBdr>
        <w:top w:val="none" w:sz="0" w:space="0" w:color="auto"/>
        <w:left w:val="none" w:sz="0" w:space="0" w:color="auto"/>
        <w:bottom w:val="none" w:sz="0" w:space="0" w:color="auto"/>
        <w:right w:val="none" w:sz="0" w:space="0" w:color="auto"/>
      </w:divBdr>
    </w:div>
    <w:div w:id="798302845">
      <w:bodyDiv w:val="1"/>
      <w:marLeft w:val="0"/>
      <w:marRight w:val="0"/>
      <w:marTop w:val="0"/>
      <w:marBottom w:val="0"/>
      <w:divBdr>
        <w:top w:val="none" w:sz="0" w:space="0" w:color="auto"/>
        <w:left w:val="none" w:sz="0" w:space="0" w:color="auto"/>
        <w:bottom w:val="none" w:sz="0" w:space="0" w:color="auto"/>
        <w:right w:val="none" w:sz="0" w:space="0" w:color="auto"/>
      </w:divBdr>
    </w:div>
    <w:div w:id="801508030">
      <w:bodyDiv w:val="1"/>
      <w:marLeft w:val="0"/>
      <w:marRight w:val="0"/>
      <w:marTop w:val="0"/>
      <w:marBottom w:val="0"/>
      <w:divBdr>
        <w:top w:val="none" w:sz="0" w:space="0" w:color="auto"/>
        <w:left w:val="none" w:sz="0" w:space="0" w:color="auto"/>
        <w:bottom w:val="none" w:sz="0" w:space="0" w:color="auto"/>
        <w:right w:val="none" w:sz="0" w:space="0" w:color="auto"/>
      </w:divBdr>
      <w:divsChild>
        <w:div w:id="526989224">
          <w:marLeft w:val="0"/>
          <w:marRight w:val="0"/>
          <w:marTop w:val="0"/>
          <w:marBottom w:val="0"/>
          <w:divBdr>
            <w:top w:val="none" w:sz="0" w:space="0" w:color="auto"/>
            <w:left w:val="none" w:sz="0" w:space="0" w:color="auto"/>
            <w:bottom w:val="none" w:sz="0" w:space="0" w:color="auto"/>
            <w:right w:val="none" w:sz="0" w:space="0" w:color="auto"/>
          </w:divBdr>
        </w:div>
      </w:divsChild>
    </w:div>
    <w:div w:id="902064337">
      <w:bodyDiv w:val="1"/>
      <w:marLeft w:val="0"/>
      <w:marRight w:val="0"/>
      <w:marTop w:val="0"/>
      <w:marBottom w:val="0"/>
      <w:divBdr>
        <w:top w:val="none" w:sz="0" w:space="0" w:color="auto"/>
        <w:left w:val="none" w:sz="0" w:space="0" w:color="auto"/>
        <w:bottom w:val="none" w:sz="0" w:space="0" w:color="auto"/>
        <w:right w:val="none" w:sz="0" w:space="0" w:color="auto"/>
      </w:divBdr>
    </w:div>
    <w:div w:id="951206617">
      <w:bodyDiv w:val="1"/>
      <w:marLeft w:val="0"/>
      <w:marRight w:val="0"/>
      <w:marTop w:val="0"/>
      <w:marBottom w:val="0"/>
      <w:divBdr>
        <w:top w:val="none" w:sz="0" w:space="0" w:color="auto"/>
        <w:left w:val="none" w:sz="0" w:space="0" w:color="auto"/>
        <w:bottom w:val="none" w:sz="0" w:space="0" w:color="auto"/>
        <w:right w:val="none" w:sz="0" w:space="0" w:color="auto"/>
      </w:divBdr>
    </w:div>
    <w:div w:id="1021198883">
      <w:bodyDiv w:val="1"/>
      <w:marLeft w:val="0"/>
      <w:marRight w:val="0"/>
      <w:marTop w:val="0"/>
      <w:marBottom w:val="0"/>
      <w:divBdr>
        <w:top w:val="none" w:sz="0" w:space="0" w:color="auto"/>
        <w:left w:val="none" w:sz="0" w:space="0" w:color="auto"/>
        <w:bottom w:val="none" w:sz="0" w:space="0" w:color="auto"/>
        <w:right w:val="none" w:sz="0" w:space="0" w:color="auto"/>
      </w:divBdr>
    </w:div>
    <w:div w:id="1023440747">
      <w:bodyDiv w:val="1"/>
      <w:marLeft w:val="0"/>
      <w:marRight w:val="0"/>
      <w:marTop w:val="0"/>
      <w:marBottom w:val="0"/>
      <w:divBdr>
        <w:top w:val="none" w:sz="0" w:space="0" w:color="auto"/>
        <w:left w:val="none" w:sz="0" w:space="0" w:color="auto"/>
        <w:bottom w:val="none" w:sz="0" w:space="0" w:color="auto"/>
        <w:right w:val="none" w:sz="0" w:space="0" w:color="auto"/>
      </w:divBdr>
    </w:div>
    <w:div w:id="1066882061">
      <w:bodyDiv w:val="1"/>
      <w:marLeft w:val="0"/>
      <w:marRight w:val="0"/>
      <w:marTop w:val="0"/>
      <w:marBottom w:val="0"/>
      <w:divBdr>
        <w:top w:val="none" w:sz="0" w:space="0" w:color="auto"/>
        <w:left w:val="none" w:sz="0" w:space="0" w:color="auto"/>
        <w:bottom w:val="none" w:sz="0" w:space="0" w:color="auto"/>
        <w:right w:val="none" w:sz="0" w:space="0" w:color="auto"/>
      </w:divBdr>
    </w:div>
    <w:div w:id="1119645485">
      <w:bodyDiv w:val="1"/>
      <w:marLeft w:val="0"/>
      <w:marRight w:val="0"/>
      <w:marTop w:val="0"/>
      <w:marBottom w:val="0"/>
      <w:divBdr>
        <w:top w:val="none" w:sz="0" w:space="0" w:color="auto"/>
        <w:left w:val="none" w:sz="0" w:space="0" w:color="auto"/>
        <w:bottom w:val="none" w:sz="0" w:space="0" w:color="auto"/>
        <w:right w:val="none" w:sz="0" w:space="0" w:color="auto"/>
      </w:divBdr>
    </w:div>
    <w:div w:id="1184973733">
      <w:bodyDiv w:val="1"/>
      <w:marLeft w:val="0"/>
      <w:marRight w:val="0"/>
      <w:marTop w:val="0"/>
      <w:marBottom w:val="0"/>
      <w:divBdr>
        <w:top w:val="none" w:sz="0" w:space="0" w:color="auto"/>
        <w:left w:val="none" w:sz="0" w:space="0" w:color="auto"/>
        <w:bottom w:val="none" w:sz="0" w:space="0" w:color="auto"/>
        <w:right w:val="none" w:sz="0" w:space="0" w:color="auto"/>
      </w:divBdr>
    </w:div>
    <w:div w:id="1236210469">
      <w:bodyDiv w:val="1"/>
      <w:marLeft w:val="0"/>
      <w:marRight w:val="0"/>
      <w:marTop w:val="0"/>
      <w:marBottom w:val="0"/>
      <w:divBdr>
        <w:top w:val="none" w:sz="0" w:space="0" w:color="auto"/>
        <w:left w:val="none" w:sz="0" w:space="0" w:color="auto"/>
        <w:bottom w:val="none" w:sz="0" w:space="0" w:color="auto"/>
        <w:right w:val="none" w:sz="0" w:space="0" w:color="auto"/>
      </w:divBdr>
    </w:div>
    <w:div w:id="1254170342">
      <w:bodyDiv w:val="1"/>
      <w:marLeft w:val="0"/>
      <w:marRight w:val="0"/>
      <w:marTop w:val="0"/>
      <w:marBottom w:val="0"/>
      <w:divBdr>
        <w:top w:val="none" w:sz="0" w:space="0" w:color="auto"/>
        <w:left w:val="none" w:sz="0" w:space="0" w:color="auto"/>
        <w:bottom w:val="none" w:sz="0" w:space="0" w:color="auto"/>
        <w:right w:val="none" w:sz="0" w:space="0" w:color="auto"/>
      </w:divBdr>
    </w:div>
    <w:div w:id="1268122028">
      <w:bodyDiv w:val="1"/>
      <w:marLeft w:val="0"/>
      <w:marRight w:val="0"/>
      <w:marTop w:val="0"/>
      <w:marBottom w:val="0"/>
      <w:divBdr>
        <w:top w:val="none" w:sz="0" w:space="0" w:color="auto"/>
        <w:left w:val="none" w:sz="0" w:space="0" w:color="auto"/>
        <w:bottom w:val="none" w:sz="0" w:space="0" w:color="auto"/>
        <w:right w:val="none" w:sz="0" w:space="0" w:color="auto"/>
      </w:divBdr>
      <w:divsChild>
        <w:div w:id="1743411568">
          <w:marLeft w:val="0"/>
          <w:marRight w:val="0"/>
          <w:marTop w:val="0"/>
          <w:marBottom w:val="0"/>
          <w:divBdr>
            <w:top w:val="none" w:sz="0" w:space="0" w:color="auto"/>
            <w:left w:val="none" w:sz="0" w:space="0" w:color="auto"/>
            <w:bottom w:val="none" w:sz="0" w:space="0" w:color="auto"/>
            <w:right w:val="none" w:sz="0" w:space="0" w:color="auto"/>
          </w:divBdr>
          <w:divsChild>
            <w:div w:id="1492142274">
              <w:marLeft w:val="4757"/>
              <w:marRight w:val="4757"/>
              <w:marTop w:val="0"/>
              <w:marBottom w:val="750"/>
              <w:divBdr>
                <w:top w:val="none" w:sz="0" w:space="0" w:color="auto"/>
                <w:left w:val="none" w:sz="0" w:space="0" w:color="auto"/>
                <w:bottom w:val="none" w:sz="0" w:space="0" w:color="auto"/>
                <w:right w:val="none" w:sz="0" w:space="0" w:color="auto"/>
              </w:divBdr>
              <w:divsChild>
                <w:div w:id="1702853876">
                  <w:marLeft w:val="0"/>
                  <w:marRight w:val="0"/>
                  <w:marTop w:val="0"/>
                  <w:marBottom w:val="0"/>
                  <w:divBdr>
                    <w:top w:val="none" w:sz="0" w:space="0" w:color="auto"/>
                    <w:left w:val="none" w:sz="0" w:space="0" w:color="auto"/>
                    <w:bottom w:val="none" w:sz="0" w:space="0" w:color="auto"/>
                    <w:right w:val="none" w:sz="0" w:space="0" w:color="auto"/>
                  </w:divBdr>
                  <w:divsChild>
                    <w:div w:id="1851947539">
                      <w:marLeft w:val="0"/>
                      <w:marRight w:val="0"/>
                      <w:marTop w:val="0"/>
                      <w:marBottom w:val="0"/>
                      <w:divBdr>
                        <w:top w:val="none" w:sz="0" w:space="0" w:color="auto"/>
                        <w:left w:val="none" w:sz="0" w:space="0" w:color="auto"/>
                        <w:bottom w:val="none" w:sz="0" w:space="0" w:color="auto"/>
                        <w:right w:val="none" w:sz="0" w:space="0" w:color="auto"/>
                      </w:divBdr>
                      <w:divsChild>
                        <w:div w:id="477646046">
                          <w:marLeft w:val="0"/>
                          <w:marRight w:val="0"/>
                          <w:marTop w:val="0"/>
                          <w:marBottom w:val="0"/>
                          <w:divBdr>
                            <w:top w:val="none" w:sz="0" w:space="0" w:color="auto"/>
                            <w:left w:val="none" w:sz="0" w:space="0" w:color="auto"/>
                            <w:bottom w:val="none" w:sz="0" w:space="0" w:color="auto"/>
                            <w:right w:val="none" w:sz="0" w:space="0" w:color="auto"/>
                          </w:divBdr>
                          <w:divsChild>
                            <w:div w:id="2013528769">
                              <w:marLeft w:val="0"/>
                              <w:marRight w:val="0"/>
                              <w:marTop w:val="0"/>
                              <w:marBottom w:val="0"/>
                              <w:divBdr>
                                <w:top w:val="none" w:sz="0" w:space="0" w:color="auto"/>
                                <w:left w:val="none" w:sz="0" w:space="0" w:color="auto"/>
                                <w:bottom w:val="none" w:sz="0" w:space="0" w:color="auto"/>
                                <w:right w:val="none" w:sz="0" w:space="0" w:color="auto"/>
                              </w:divBdr>
                              <w:divsChild>
                                <w:div w:id="590087048">
                                  <w:marLeft w:val="3000"/>
                                  <w:marRight w:val="0"/>
                                  <w:marTop w:val="0"/>
                                  <w:marBottom w:val="0"/>
                                  <w:divBdr>
                                    <w:top w:val="none" w:sz="0" w:space="0" w:color="auto"/>
                                    <w:left w:val="none" w:sz="0" w:space="0" w:color="auto"/>
                                    <w:bottom w:val="none" w:sz="0" w:space="0" w:color="auto"/>
                                    <w:right w:val="none" w:sz="0" w:space="0" w:color="auto"/>
                                  </w:divBdr>
                                  <w:divsChild>
                                    <w:div w:id="1524435409">
                                      <w:marLeft w:val="0"/>
                                      <w:marRight w:val="0"/>
                                      <w:marTop w:val="0"/>
                                      <w:marBottom w:val="0"/>
                                      <w:divBdr>
                                        <w:top w:val="none" w:sz="0" w:space="0" w:color="auto"/>
                                        <w:left w:val="none" w:sz="0" w:space="0" w:color="auto"/>
                                        <w:bottom w:val="none" w:sz="0" w:space="0" w:color="auto"/>
                                        <w:right w:val="none" w:sz="0" w:space="0" w:color="auto"/>
                                      </w:divBdr>
                                    </w:div>
                                    <w:div w:id="443505400">
                                      <w:marLeft w:val="0"/>
                                      <w:marRight w:val="0"/>
                                      <w:marTop w:val="0"/>
                                      <w:marBottom w:val="0"/>
                                      <w:divBdr>
                                        <w:top w:val="none" w:sz="0" w:space="0" w:color="auto"/>
                                        <w:left w:val="none" w:sz="0" w:space="0" w:color="auto"/>
                                        <w:bottom w:val="none" w:sz="0" w:space="0" w:color="auto"/>
                                        <w:right w:val="none" w:sz="0" w:space="0" w:color="auto"/>
                                      </w:divBdr>
                                      <w:divsChild>
                                        <w:div w:id="2094617083">
                                          <w:marLeft w:val="0"/>
                                          <w:marRight w:val="0"/>
                                          <w:marTop w:val="0"/>
                                          <w:marBottom w:val="0"/>
                                          <w:divBdr>
                                            <w:top w:val="none" w:sz="0" w:space="0" w:color="auto"/>
                                            <w:left w:val="none" w:sz="0" w:space="0" w:color="auto"/>
                                            <w:bottom w:val="none" w:sz="0" w:space="0" w:color="auto"/>
                                            <w:right w:val="none" w:sz="0" w:space="0" w:color="auto"/>
                                          </w:divBdr>
                                        </w:div>
                                      </w:divsChild>
                                    </w:div>
                                    <w:div w:id="1201089657">
                                      <w:marLeft w:val="0"/>
                                      <w:marRight w:val="0"/>
                                      <w:marTop w:val="0"/>
                                      <w:marBottom w:val="0"/>
                                      <w:divBdr>
                                        <w:top w:val="none" w:sz="0" w:space="0" w:color="auto"/>
                                        <w:left w:val="none" w:sz="0" w:space="0" w:color="auto"/>
                                        <w:bottom w:val="none" w:sz="0" w:space="0" w:color="auto"/>
                                        <w:right w:val="none" w:sz="0" w:space="0" w:color="auto"/>
                                      </w:divBdr>
                                      <w:divsChild>
                                        <w:div w:id="1072701714">
                                          <w:marLeft w:val="0"/>
                                          <w:marRight w:val="0"/>
                                          <w:marTop w:val="0"/>
                                          <w:marBottom w:val="0"/>
                                          <w:divBdr>
                                            <w:top w:val="none" w:sz="0" w:space="0" w:color="auto"/>
                                            <w:left w:val="none" w:sz="0" w:space="0" w:color="auto"/>
                                            <w:bottom w:val="none" w:sz="0" w:space="0" w:color="auto"/>
                                            <w:right w:val="none" w:sz="0" w:space="0" w:color="auto"/>
                                          </w:divBdr>
                                        </w:div>
                                      </w:divsChild>
                                    </w:div>
                                    <w:div w:id="1109005478">
                                      <w:marLeft w:val="0"/>
                                      <w:marRight w:val="0"/>
                                      <w:marTop w:val="0"/>
                                      <w:marBottom w:val="0"/>
                                      <w:divBdr>
                                        <w:top w:val="none" w:sz="0" w:space="0" w:color="auto"/>
                                        <w:left w:val="none" w:sz="0" w:space="0" w:color="auto"/>
                                        <w:bottom w:val="none" w:sz="0" w:space="0" w:color="auto"/>
                                        <w:right w:val="none" w:sz="0" w:space="0" w:color="auto"/>
                                      </w:divBdr>
                                    </w:div>
                                    <w:div w:id="946540426">
                                      <w:marLeft w:val="0"/>
                                      <w:marRight w:val="0"/>
                                      <w:marTop w:val="0"/>
                                      <w:marBottom w:val="0"/>
                                      <w:divBdr>
                                        <w:top w:val="none" w:sz="0" w:space="0" w:color="auto"/>
                                        <w:left w:val="none" w:sz="0" w:space="0" w:color="auto"/>
                                        <w:bottom w:val="none" w:sz="0" w:space="0" w:color="auto"/>
                                        <w:right w:val="none" w:sz="0" w:space="0" w:color="auto"/>
                                      </w:divBdr>
                                    </w:div>
                                  </w:divsChild>
                                </w:div>
                                <w:div w:id="866522824">
                                  <w:marLeft w:val="0"/>
                                  <w:marRight w:val="0"/>
                                  <w:marTop w:val="0"/>
                                  <w:marBottom w:val="0"/>
                                  <w:divBdr>
                                    <w:top w:val="none" w:sz="0" w:space="0" w:color="auto"/>
                                    <w:left w:val="none" w:sz="0" w:space="0" w:color="auto"/>
                                    <w:bottom w:val="none" w:sz="0" w:space="0" w:color="auto"/>
                                    <w:right w:val="none" w:sz="0" w:space="0" w:color="auto"/>
                                  </w:divBdr>
                                  <w:divsChild>
                                    <w:div w:id="335306304">
                                      <w:marLeft w:val="0"/>
                                      <w:marRight w:val="0"/>
                                      <w:marTop w:val="0"/>
                                      <w:marBottom w:val="0"/>
                                      <w:divBdr>
                                        <w:top w:val="none" w:sz="0" w:space="0" w:color="auto"/>
                                        <w:left w:val="none" w:sz="0" w:space="0" w:color="auto"/>
                                        <w:bottom w:val="none" w:sz="0" w:space="0" w:color="auto"/>
                                        <w:right w:val="none" w:sz="0" w:space="0" w:color="auto"/>
                                      </w:divBdr>
                                    </w:div>
                                    <w:div w:id="1638677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216177">
      <w:bodyDiv w:val="1"/>
      <w:marLeft w:val="0"/>
      <w:marRight w:val="0"/>
      <w:marTop w:val="0"/>
      <w:marBottom w:val="0"/>
      <w:divBdr>
        <w:top w:val="none" w:sz="0" w:space="0" w:color="auto"/>
        <w:left w:val="none" w:sz="0" w:space="0" w:color="auto"/>
        <w:bottom w:val="none" w:sz="0" w:space="0" w:color="auto"/>
        <w:right w:val="none" w:sz="0" w:space="0" w:color="auto"/>
      </w:divBdr>
    </w:div>
    <w:div w:id="1369112657">
      <w:bodyDiv w:val="1"/>
      <w:marLeft w:val="0"/>
      <w:marRight w:val="0"/>
      <w:marTop w:val="0"/>
      <w:marBottom w:val="0"/>
      <w:divBdr>
        <w:top w:val="none" w:sz="0" w:space="0" w:color="auto"/>
        <w:left w:val="none" w:sz="0" w:space="0" w:color="auto"/>
        <w:bottom w:val="none" w:sz="0" w:space="0" w:color="auto"/>
        <w:right w:val="none" w:sz="0" w:space="0" w:color="auto"/>
      </w:divBdr>
    </w:div>
    <w:div w:id="1384015349">
      <w:bodyDiv w:val="1"/>
      <w:marLeft w:val="0"/>
      <w:marRight w:val="0"/>
      <w:marTop w:val="0"/>
      <w:marBottom w:val="0"/>
      <w:divBdr>
        <w:top w:val="none" w:sz="0" w:space="0" w:color="auto"/>
        <w:left w:val="none" w:sz="0" w:space="0" w:color="auto"/>
        <w:bottom w:val="none" w:sz="0" w:space="0" w:color="auto"/>
        <w:right w:val="none" w:sz="0" w:space="0" w:color="auto"/>
      </w:divBdr>
    </w:div>
    <w:div w:id="1401052980">
      <w:bodyDiv w:val="1"/>
      <w:marLeft w:val="0"/>
      <w:marRight w:val="0"/>
      <w:marTop w:val="0"/>
      <w:marBottom w:val="0"/>
      <w:divBdr>
        <w:top w:val="none" w:sz="0" w:space="0" w:color="auto"/>
        <w:left w:val="none" w:sz="0" w:space="0" w:color="auto"/>
        <w:bottom w:val="none" w:sz="0" w:space="0" w:color="auto"/>
        <w:right w:val="none" w:sz="0" w:space="0" w:color="auto"/>
      </w:divBdr>
    </w:div>
    <w:div w:id="1408304080">
      <w:bodyDiv w:val="1"/>
      <w:marLeft w:val="0"/>
      <w:marRight w:val="0"/>
      <w:marTop w:val="0"/>
      <w:marBottom w:val="0"/>
      <w:divBdr>
        <w:top w:val="none" w:sz="0" w:space="0" w:color="auto"/>
        <w:left w:val="none" w:sz="0" w:space="0" w:color="auto"/>
        <w:bottom w:val="none" w:sz="0" w:space="0" w:color="auto"/>
        <w:right w:val="none" w:sz="0" w:space="0" w:color="auto"/>
      </w:divBdr>
    </w:div>
    <w:div w:id="1419594784">
      <w:bodyDiv w:val="1"/>
      <w:marLeft w:val="0"/>
      <w:marRight w:val="0"/>
      <w:marTop w:val="0"/>
      <w:marBottom w:val="0"/>
      <w:divBdr>
        <w:top w:val="none" w:sz="0" w:space="0" w:color="auto"/>
        <w:left w:val="none" w:sz="0" w:space="0" w:color="auto"/>
        <w:bottom w:val="none" w:sz="0" w:space="0" w:color="auto"/>
        <w:right w:val="none" w:sz="0" w:space="0" w:color="auto"/>
      </w:divBdr>
      <w:divsChild>
        <w:div w:id="44988813">
          <w:marLeft w:val="0"/>
          <w:marRight w:val="0"/>
          <w:marTop w:val="0"/>
          <w:marBottom w:val="0"/>
          <w:divBdr>
            <w:top w:val="none" w:sz="0" w:space="0" w:color="auto"/>
            <w:left w:val="none" w:sz="0" w:space="0" w:color="auto"/>
            <w:bottom w:val="none" w:sz="0" w:space="0" w:color="auto"/>
            <w:right w:val="none" w:sz="0" w:space="0" w:color="auto"/>
          </w:divBdr>
        </w:div>
      </w:divsChild>
    </w:div>
    <w:div w:id="1523351301">
      <w:bodyDiv w:val="1"/>
      <w:marLeft w:val="0"/>
      <w:marRight w:val="0"/>
      <w:marTop w:val="0"/>
      <w:marBottom w:val="0"/>
      <w:divBdr>
        <w:top w:val="none" w:sz="0" w:space="0" w:color="auto"/>
        <w:left w:val="none" w:sz="0" w:space="0" w:color="auto"/>
        <w:bottom w:val="none" w:sz="0" w:space="0" w:color="auto"/>
        <w:right w:val="none" w:sz="0" w:space="0" w:color="auto"/>
      </w:divBdr>
    </w:div>
    <w:div w:id="1531530683">
      <w:bodyDiv w:val="1"/>
      <w:marLeft w:val="0"/>
      <w:marRight w:val="0"/>
      <w:marTop w:val="0"/>
      <w:marBottom w:val="0"/>
      <w:divBdr>
        <w:top w:val="none" w:sz="0" w:space="0" w:color="auto"/>
        <w:left w:val="none" w:sz="0" w:space="0" w:color="auto"/>
        <w:bottom w:val="none" w:sz="0" w:space="0" w:color="auto"/>
        <w:right w:val="none" w:sz="0" w:space="0" w:color="auto"/>
      </w:divBdr>
    </w:div>
    <w:div w:id="1610048116">
      <w:bodyDiv w:val="1"/>
      <w:marLeft w:val="0"/>
      <w:marRight w:val="0"/>
      <w:marTop w:val="0"/>
      <w:marBottom w:val="0"/>
      <w:divBdr>
        <w:top w:val="none" w:sz="0" w:space="0" w:color="auto"/>
        <w:left w:val="none" w:sz="0" w:space="0" w:color="auto"/>
        <w:bottom w:val="none" w:sz="0" w:space="0" w:color="auto"/>
        <w:right w:val="none" w:sz="0" w:space="0" w:color="auto"/>
      </w:divBdr>
    </w:div>
    <w:div w:id="1628782289">
      <w:bodyDiv w:val="1"/>
      <w:marLeft w:val="0"/>
      <w:marRight w:val="0"/>
      <w:marTop w:val="0"/>
      <w:marBottom w:val="0"/>
      <w:divBdr>
        <w:top w:val="none" w:sz="0" w:space="0" w:color="auto"/>
        <w:left w:val="none" w:sz="0" w:space="0" w:color="auto"/>
        <w:bottom w:val="none" w:sz="0" w:space="0" w:color="auto"/>
        <w:right w:val="none" w:sz="0" w:space="0" w:color="auto"/>
      </w:divBdr>
    </w:div>
    <w:div w:id="1634020537">
      <w:bodyDiv w:val="1"/>
      <w:marLeft w:val="0"/>
      <w:marRight w:val="0"/>
      <w:marTop w:val="0"/>
      <w:marBottom w:val="0"/>
      <w:divBdr>
        <w:top w:val="none" w:sz="0" w:space="0" w:color="auto"/>
        <w:left w:val="none" w:sz="0" w:space="0" w:color="auto"/>
        <w:bottom w:val="none" w:sz="0" w:space="0" w:color="auto"/>
        <w:right w:val="none" w:sz="0" w:space="0" w:color="auto"/>
      </w:divBdr>
    </w:div>
    <w:div w:id="1674062421">
      <w:bodyDiv w:val="1"/>
      <w:marLeft w:val="0"/>
      <w:marRight w:val="0"/>
      <w:marTop w:val="0"/>
      <w:marBottom w:val="0"/>
      <w:divBdr>
        <w:top w:val="none" w:sz="0" w:space="0" w:color="auto"/>
        <w:left w:val="none" w:sz="0" w:space="0" w:color="auto"/>
        <w:bottom w:val="none" w:sz="0" w:space="0" w:color="auto"/>
        <w:right w:val="none" w:sz="0" w:space="0" w:color="auto"/>
      </w:divBdr>
    </w:div>
    <w:div w:id="1686245025">
      <w:bodyDiv w:val="1"/>
      <w:marLeft w:val="0"/>
      <w:marRight w:val="0"/>
      <w:marTop w:val="0"/>
      <w:marBottom w:val="0"/>
      <w:divBdr>
        <w:top w:val="none" w:sz="0" w:space="0" w:color="auto"/>
        <w:left w:val="none" w:sz="0" w:space="0" w:color="auto"/>
        <w:bottom w:val="none" w:sz="0" w:space="0" w:color="auto"/>
        <w:right w:val="none" w:sz="0" w:space="0" w:color="auto"/>
      </w:divBdr>
    </w:div>
    <w:div w:id="1732774998">
      <w:bodyDiv w:val="1"/>
      <w:marLeft w:val="0"/>
      <w:marRight w:val="0"/>
      <w:marTop w:val="0"/>
      <w:marBottom w:val="0"/>
      <w:divBdr>
        <w:top w:val="none" w:sz="0" w:space="0" w:color="auto"/>
        <w:left w:val="none" w:sz="0" w:space="0" w:color="auto"/>
        <w:bottom w:val="none" w:sz="0" w:space="0" w:color="auto"/>
        <w:right w:val="none" w:sz="0" w:space="0" w:color="auto"/>
      </w:divBdr>
    </w:div>
    <w:div w:id="1761952400">
      <w:bodyDiv w:val="1"/>
      <w:marLeft w:val="0"/>
      <w:marRight w:val="0"/>
      <w:marTop w:val="0"/>
      <w:marBottom w:val="0"/>
      <w:divBdr>
        <w:top w:val="none" w:sz="0" w:space="0" w:color="auto"/>
        <w:left w:val="none" w:sz="0" w:space="0" w:color="auto"/>
        <w:bottom w:val="none" w:sz="0" w:space="0" w:color="auto"/>
        <w:right w:val="none" w:sz="0" w:space="0" w:color="auto"/>
      </w:divBdr>
    </w:div>
    <w:div w:id="1771509562">
      <w:bodyDiv w:val="1"/>
      <w:marLeft w:val="0"/>
      <w:marRight w:val="0"/>
      <w:marTop w:val="0"/>
      <w:marBottom w:val="0"/>
      <w:divBdr>
        <w:top w:val="none" w:sz="0" w:space="0" w:color="auto"/>
        <w:left w:val="none" w:sz="0" w:space="0" w:color="auto"/>
        <w:bottom w:val="none" w:sz="0" w:space="0" w:color="auto"/>
        <w:right w:val="none" w:sz="0" w:space="0" w:color="auto"/>
      </w:divBdr>
    </w:div>
    <w:div w:id="1780032003">
      <w:bodyDiv w:val="1"/>
      <w:marLeft w:val="0"/>
      <w:marRight w:val="0"/>
      <w:marTop w:val="0"/>
      <w:marBottom w:val="0"/>
      <w:divBdr>
        <w:top w:val="none" w:sz="0" w:space="0" w:color="auto"/>
        <w:left w:val="none" w:sz="0" w:space="0" w:color="auto"/>
        <w:bottom w:val="none" w:sz="0" w:space="0" w:color="auto"/>
        <w:right w:val="none" w:sz="0" w:space="0" w:color="auto"/>
      </w:divBdr>
    </w:div>
    <w:div w:id="1783912451">
      <w:bodyDiv w:val="1"/>
      <w:marLeft w:val="0"/>
      <w:marRight w:val="0"/>
      <w:marTop w:val="0"/>
      <w:marBottom w:val="0"/>
      <w:divBdr>
        <w:top w:val="none" w:sz="0" w:space="0" w:color="auto"/>
        <w:left w:val="none" w:sz="0" w:space="0" w:color="auto"/>
        <w:bottom w:val="none" w:sz="0" w:space="0" w:color="auto"/>
        <w:right w:val="none" w:sz="0" w:space="0" w:color="auto"/>
      </w:divBdr>
    </w:div>
    <w:div w:id="1814717404">
      <w:bodyDiv w:val="1"/>
      <w:marLeft w:val="0"/>
      <w:marRight w:val="0"/>
      <w:marTop w:val="0"/>
      <w:marBottom w:val="0"/>
      <w:divBdr>
        <w:top w:val="none" w:sz="0" w:space="0" w:color="auto"/>
        <w:left w:val="none" w:sz="0" w:space="0" w:color="auto"/>
        <w:bottom w:val="none" w:sz="0" w:space="0" w:color="auto"/>
        <w:right w:val="none" w:sz="0" w:space="0" w:color="auto"/>
      </w:divBdr>
    </w:div>
    <w:div w:id="1926959140">
      <w:bodyDiv w:val="1"/>
      <w:marLeft w:val="0"/>
      <w:marRight w:val="0"/>
      <w:marTop w:val="0"/>
      <w:marBottom w:val="0"/>
      <w:divBdr>
        <w:top w:val="none" w:sz="0" w:space="0" w:color="auto"/>
        <w:left w:val="none" w:sz="0" w:space="0" w:color="auto"/>
        <w:bottom w:val="none" w:sz="0" w:space="0" w:color="auto"/>
        <w:right w:val="none" w:sz="0" w:space="0" w:color="auto"/>
      </w:divBdr>
    </w:div>
    <w:div w:id="2078896123">
      <w:bodyDiv w:val="1"/>
      <w:marLeft w:val="0"/>
      <w:marRight w:val="0"/>
      <w:marTop w:val="0"/>
      <w:marBottom w:val="0"/>
      <w:divBdr>
        <w:top w:val="none" w:sz="0" w:space="0" w:color="auto"/>
        <w:left w:val="none" w:sz="0" w:space="0" w:color="auto"/>
        <w:bottom w:val="none" w:sz="0" w:space="0" w:color="auto"/>
        <w:right w:val="none" w:sz="0" w:space="0" w:color="auto"/>
      </w:divBdr>
    </w:div>
    <w:div w:id="2105422063">
      <w:bodyDiv w:val="1"/>
      <w:marLeft w:val="0"/>
      <w:marRight w:val="0"/>
      <w:marTop w:val="0"/>
      <w:marBottom w:val="0"/>
      <w:divBdr>
        <w:top w:val="none" w:sz="0" w:space="0" w:color="auto"/>
        <w:left w:val="none" w:sz="0" w:space="0" w:color="auto"/>
        <w:bottom w:val="none" w:sz="0" w:space="0" w:color="auto"/>
        <w:right w:val="none" w:sz="0" w:space="0" w:color="auto"/>
      </w:divBdr>
      <w:divsChild>
        <w:div w:id="1978143355">
          <w:marLeft w:val="0"/>
          <w:marRight w:val="0"/>
          <w:marTop w:val="0"/>
          <w:marBottom w:val="150"/>
          <w:divBdr>
            <w:top w:val="none" w:sz="0" w:space="0" w:color="auto"/>
            <w:left w:val="none" w:sz="0" w:space="0" w:color="auto"/>
            <w:bottom w:val="none" w:sz="0" w:space="0" w:color="auto"/>
            <w:right w:val="none" w:sz="0" w:space="0" w:color="auto"/>
          </w:divBdr>
        </w:div>
        <w:div w:id="2054309740">
          <w:marLeft w:val="0"/>
          <w:marRight w:val="0"/>
          <w:marTop w:val="0"/>
          <w:marBottom w:val="150"/>
          <w:divBdr>
            <w:top w:val="none" w:sz="0" w:space="0" w:color="auto"/>
            <w:left w:val="none" w:sz="0" w:space="0" w:color="auto"/>
            <w:bottom w:val="none" w:sz="0" w:space="0" w:color="auto"/>
            <w:right w:val="none" w:sz="0" w:space="0" w:color="auto"/>
          </w:divBdr>
        </w:div>
      </w:divsChild>
    </w:div>
    <w:div w:id="2138064478">
      <w:bodyDiv w:val="1"/>
      <w:marLeft w:val="0"/>
      <w:marRight w:val="0"/>
      <w:marTop w:val="0"/>
      <w:marBottom w:val="0"/>
      <w:divBdr>
        <w:top w:val="none" w:sz="0" w:space="0" w:color="auto"/>
        <w:left w:val="none" w:sz="0" w:space="0" w:color="auto"/>
        <w:bottom w:val="none" w:sz="0" w:space="0" w:color="auto"/>
        <w:right w:val="none" w:sz="0" w:space="0" w:color="auto"/>
      </w:divBdr>
    </w:div>
    <w:div w:id="214430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A5700-8837-4397-93F3-E86B2A0E7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Farrenkopf</dc:creator>
  <cp:lastModifiedBy>Kim Farrenkopf</cp:lastModifiedBy>
  <cp:revision>2</cp:revision>
  <cp:lastPrinted>2025-05-19T12:33:00Z</cp:lastPrinted>
  <dcterms:created xsi:type="dcterms:W3CDTF">2025-06-02T12:54:00Z</dcterms:created>
  <dcterms:modified xsi:type="dcterms:W3CDTF">2025-06-02T12:54:00Z</dcterms:modified>
</cp:coreProperties>
</file>